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7" w:type="dxa"/>
        <w:tblLayout w:type="fixed"/>
        <w:tblCellMar>
          <w:left w:w="0" w:type="dxa"/>
          <w:right w:w="0" w:type="dxa"/>
        </w:tblCellMar>
        <w:tblLook w:val="04A0" w:firstRow="1" w:lastRow="0" w:firstColumn="1" w:lastColumn="0" w:noHBand="0" w:noVBand="1"/>
      </w:tblPr>
      <w:tblGrid>
        <w:gridCol w:w="114"/>
        <w:gridCol w:w="902"/>
        <w:gridCol w:w="4055"/>
        <w:gridCol w:w="229"/>
        <w:gridCol w:w="115"/>
        <w:gridCol w:w="903"/>
        <w:gridCol w:w="1920"/>
        <w:gridCol w:w="2134"/>
        <w:gridCol w:w="115"/>
        <w:gridCol w:w="115"/>
        <w:gridCol w:w="29"/>
        <w:gridCol w:w="86"/>
      </w:tblGrid>
      <w:tr w:rsidR="008A7CE8" w:rsidTr="003506D2">
        <w:trPr>
          <w:trHeight w:val="115"/>
        </w:trPr>
        <w:tc>
          <w:tcPr>
            <w:tcW w:w="10717" w:type="dxa"/>
            <w:gridSpan w:val="12"/>
          </w:tcPr>
          <w:p w:rsidR="008A7CE8" w:rsidRDefault="008A7CE8"/>
        </w:tc>
      </w:tr>
      <w:tr w:rsidR="008A7CE8" w:rsidTr="002C43E7">
        <w:trPr>
          <w:trHeight w:val="329"/>
        </w:trPr>
        <w:tc>
          <w:tcPr>
            <w:tcW w:w="114" w:type="dxa"/>
          </w:tcPr>
          <w:p w:rsidR="008A7CE8" w:rsidRDefault="008A7CE8"/>
        </w:tc>
        <w:tc>
          <w:tcPr>
            <w:tcW w:w="10488" w:type="dxa"/>
            <w:gridSpan w:val="9"/>
            <w:shd w:val="clear" w:color="auto" w:fill="FFFFFF"/>
            <w:vAlign w:val="center"/>
          </w:tcPr>
          <w:p w:rsidR="008A7CE8" w:rsidRDefault="00393C4E">
            <w:pPr>
              <w:spacing w:line="232" w:lineRule="auto"/>
              <w:jc w:val="center"/>
              <w:rPr>
                <w:rFonts w:ascii="Calibri" w:eastAsia="Calibri" w:hAnsi="Calibri" w:cs="Calibri"/>
                <w:b/>
                <w:color w:val="000000"/>
                <w:spacing w:val="-2"/>
                <w:sz w:val="20"/>
              </w:rPr>
            </w:pPr>
            <w:r>
              <w:rPr>
                <w:rFonts w:ascii="Calibri" w:eastAsia="Calibri" w:hAnsi="Calibri" w:cs="Calibri"/>
                <w:b/>
                <w:color w:val="000000"/>
                <w:spacing w:val="-2"/>
                <w:sz w:val="20"/>
              </w:rPr>
              <w:t xml:space="preserve">ДОГОВОР № </w:t>
            </w:r>
            <w:proofErr w:type="gramStart"/>
            <w:r>
              <w:rPr>
                <w:rFonts w:ascii="Calibri" w:eastAsia="Calibri" w:hAnsi="Calibri" w:cs="Calibri"/>
                <w:b/>
                <w:color w:val="000000"/>
                <w:spacing w:val="-2"/>
                <w:sz w:val="20"/>
              </w:rPr>
              <w:t>МСК</w:t>
            </w:r>
            <w:proofErr w:type="gramEnd"/>
            <w:r>
              <w:rPr>
                <w:rFonts w:ascii="Calibri" w:eastAsia="Calibri" w:hAnsi="Calibri" w:cs="Calibri"/>
                <w:b/>
                <w:color w:val="000000"/>
                <w:spacing w:val="-2"/>
                <w:sz w:val="20"/>
              </w:rPr>
              <w:t xml:space="preserve"> __/__/____</w:t>
            </w:r>
          </w:p>
        </w:tc>
        <w:tc>
          <w:tcPr>
            <w:tcW w:w="115" w:type="dxa"/>
            <w:gridSpan w:val="2"/>
          </w:tcPr>
          <w:p w:rsidR="008A7CE8" w:rsidRDefault="008A7CE8"/>
        </w:tc>
      </w:tr>
      <w:tr w:rsidR="008A7CE8" w:rsidTr="003506D2">
        <w:trPr>
          <w:trHeight w:val="229"/>
        </w:trPr>
        <w:tc>
          <w:tcPr>
            <w:tcW w:w="10717" w:type="dxa"/>
            <w:gridSpan w:val="12"/>
          </w:tcPr>
          <w:p w:rsidR="008A7CE8" w:rsidRDefault="008A7CE8"/>
        </w:tc>
      </w:tr>
      <w:tr w:rsidR="008A7CE8" w:rsidTr="002C43E7">
        <w:trPr>
          <w:trHeight w:val="344"/>
        </w:trPr>
        <w:tc>
          <w:tcPr>
            <w:tcW w:w="114" w:type="dxa"/>
          </w:tcPr>
          <w:p w:rsidR="008A7CE8" w:rsidRDefault="008A7CE8"/>
        </w:tc>
        <w:tc>
          <w:tcPr>
            <w:tcW w:w="902" w:type="dxa"/>
            <w:shd w:val="clear" w:color="auto" w:fill="FFFFFF"/>
          </w:tcPr>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г. Москва</w:t>
            </w:r>
          </w:p>
        </w:tc>
        <w:tc>
          <w:tcPr>
            <w:tcW w:w="7222" w:type="dxa"/>
            <w:gridSpan w:val="5"/>
          </w:tcPr>
          <w:p w:rsidR="008A7CE8" w:rsidRDefault="008A7CE8"/>
        </w:tc>
        <w:tc>
          <w:tcPr>
            <w:tcW w:w="2364" w:type="dxa"/>
            <w:gridSpan w:val="3"/>
            <w:shd w:val="clear" w:color="auto" w:fill="FFFFFF"/>
          </w:tcPr>
          <w:p w:rsidR="008A7CE8" w:rsidRDefault="00393C4E" w:rsidP="00393C4E">
            <w:pPr>
              <w:spacing w:line="232" w:lineRule="auto"/>
              <w:jc w:val="right"/>
              <w:rPr>
                <w:rFonts w:ascii="Calibri" w:eastAsia="Calibri" w:hAnsi="Calibri" w:cs="Calibri"/>
                <w:color w:val="000000"/>
                <w:spacing w:val="-2"/>
                <w:sz w:val="20"/>
              </w:rPr>
            </w:pPr>
            <w:r>
              <w:rPr>
                <w:rFonts w:ascii="Calibri" w:eastAsia="Calibri" w:hAnsi="Calibri" w:cs="Calibri"/>
                <w:color w:val="000000"/>
                <w:spacing w:val="-2"/>
                <w:sz w:val="20"/>
              </w:rPr>
              <w:t>01.01</w:t>
            </w:r>
            <w:r w:rsidR="001D1FC9">
              <w:rPr>
                <w:rFonts w:ascii="Calibri" w:eastAsia="Calibri" w:hAnsi="Calibri" w:cs="Calibri"/>
                <w:color w:val="000000"/>
                <w:spacing w:val="-2"/>
                <w:sz w:val="20"/>
              </w:rPr>
              <w:t>.2017</w:t>
            </w:r>
          </w:p>
        </w:tc>
        <w:tc>
          <w:tcPr>
            <w:tcW w:w="115" w:type="dxa"/>
            <w:gridSpan w:val="2"/>
          </w:tcPr>
          <w:p w:rsidR="008A7CE8" w:rsidRDefault="008A7CE8"/>
        </w:tc>
      </w:tr>
      <w:tr w:rsidR="008A7CE8" w:rsidTr="003506D2">
        <w:trPr>
          <w:trHeight w:val="230"/>
        </w:trPr>
        <w:tc>
          <w:tcPr>
            <w:tcW w:w="10717" w:type="dxa"/>
            <w:gridSpan w:val="12"/>
          </w:tcPr>
          <w:p w:rsidR="008A7CE8" w:rsidRDefault="008A7CE8"/>
        </w:tc>
      </w:tr>
      <w:tr w:rsidR="008A7CE8" w:rsidTr="002C43E7">
        <w:trPr>
          <w:trHeight w:val="1232"/>
        </w:trPr>
        <w:tc>
          <w:tcPr>
            <w:tcW w:w="114" w:type="dxa"/>
          </w:tcPr>
          <w:p w:rsidR="008A7CE8" w:rsidRDefault="008A7CE8"/>
        </w:tc>
        <w:tc>
          <w:tcPr>
            <w:tcW w:w="10488" w:type="dxa"/>
            <w:gridSpan w:val="9"/>
            <w:shd w:val="clear" w:color="auto" w:fill="FFFFFF"/>
          </w:tcPr>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Общество с ограниченной ответственностью «Директив», именуемое в дальнейшем «Оператор», в лице Генерального директора Панова Н.В., действующего на основании Устава, с одной стороны, и</w:t>
            </w:r>
          </w:p>
          <w:p w:rsidR="008A7CE8" w:rsidRDefault="00393C4E">
            <w:pPr>
              <w:spacing w:line="232" w:lineRule="auto"/>
              <w:rPr>
                <w:rFonts w:ascii="Calibri" w:eastAsia="Calibri" w:hAnsi="Calibri" w:cs="Calibri"/>
                <w:color w:val="000000"/>
                <w:spacing w:val="-2"/>
                <w:sz w:val="20"/>
              </w:rPr>
            </w:pPr>
            <w:proofErr w:type="gramStart"/>
            <w:r>
              <w:rPr>
                <w:rFonts w:ascii="Calibri" w:eastAsia="Calibri" w:hAnsi="Calibri" w:cs="Calibri"/>
                <w:color w:val="000000"/>
                <w:spacing w:val="-2"/>
                <w:sz w:val="20"/>
              </w:rPr>
              <w:softHyphen/>
            </w:r>
            <w:r>
              <w:rPr>
                <w:rFonts w:ascii="Calibri" w:eastAsia="Calibri" w:hAnsi="Calibri" w:cs="Calibri"/>
                <w:color w:val="000000"/>
                <w:spacing w:val="-2"/>
                <w:sz w:val="20"/>
              </w:rPr>
              <w:softHyphen/>
            </w:r>
            <w:r>
              <w:rPr>
                <w:rFonts w:ascii="Calibri" w:eastAsia="Calibri" w:hAnsi="Calibri" w:cs="Calibri"/>
                <w:color w:val="000000"/>
                <w:spacing w:val="-2"/>
                <w:sz w:val="20"/>
              </w:rPr>
              <w:softHyphen/>
            </w:r>
            <w:r>
              <w:rPr>
                <w:rFonts w:ascii="Calibri" w:eastAsia="Calibri" w:hAnsi="Calibri" w:cs="Calibri"/>
                <w:color w:val="000000"/>
                <w:spacing w:val="-2"/>
                <w:sz w:val="20"/>
              </w:rPr>
              <w:softHyphen/>
            </w:r>
            <w:r>
              <w:rPr>
                <w:rFonts w:ascii="Calibri" w:eastAsia="Calibri" w:hAnsi="Calibri" w:cs="Calibri"/>
                <w:color w:val="000000"/>
                <w:spacing w:val="-2"/>
                <w:sz w:val="20"/>
              </w:rPr>
              <w:softHyphen/>
            </w:r>
            <w:r>
              <w:rPr>
                <w:rFonts w:ascii="Calibri" w:eastAsia="Calibri" w:hAnsi="Calibri" w:cs="Calibri"/>
                <w:color w:val="000000"/>
                <w:spacing w:val="-2"/>
                <w:sz w:val="20"/>
              </w:rPr>
              <w:softHyphen/>
            </w:r>
            <w:r>
              <w:rPr>
                <w:rFonts w:ascii="Calibri" w:eastAsia="Calibri" w:hAnsi="Calibri" w:cs="Calibri"/>
                <w:color w:val="000000"/>
                <w:spacing w:val="-2"/>
                <w:sz w:val="20"/>
              </w:rPr>
              <w:softHyphen/>
              <w:t>_______________________</w:t>
            </w:r>
            <w:r w:rsidR="001D1FC9">
              <w:rPr>
                <w:rFonts w:ascii="Calibri" w:eastAsia="Calibri" w:hAnsi="Calibri" w:cs="Calibri"/>
                <w:color w:val="000000"/>
                <w:spacing w:val="-2"/>
                <w:sz w:val="20"/>
              </w:rPr>
              <w:t xml:space="preserve">, именуемое в дальнейшем «Абонент», в лице </w:t>
            </w:r>
            <w:r w:rsidR="000E5A5A">
              <w:rPr>
                <w:rFonts w:ascii="Calibri" w:eastAsia="Calibri" w:hAnsi="Calibri" w:cs="Calibri"/>
                <w:color w:val="000000"/>
                <w:spacing w:val="-2"/>
                <w:sz w:val="20"/>
              </w:rPr>
              <w:t>Д</w:t>
            </w:r>
            <w:r w:rsidR="001D1FC9">
              <w:rPr>
                <w:rFonts w:ascii="Calibri" w:eastAsia="Calibri" w:hAnsi="Calibri" w:cs="Calibri"/>
                <w:color w:val="000000"/>
                <w:spacing w:val="-2"/>
                <w:sz w:val="20"/>
              </w:rPr>
              <w:t xml:space="preserve">иректора </w:t>
            </w:r>
            <w:r w:rsidR="000E5A5A">
              <w:rPr>
                <w:rFonts w:ascii="Calibri" w:eastAsia="Calibri" w:hAnsi="Calibri" w:cs="Calibri"/>
                <w:color w:val="000000"/>
                <w:spacing w:val="-2"/>
                <w:sz w:val="20"/>
              </w:rPr>
              <w:t>Макро-региона «Москва»</w:t>
            </w:r>
            <w:r w:rsidR="00B56A48">
              <w:rPr>
                <w:rFonts w:ascii="Calibri" w:eastAsia="Calibri" w:hAnsi="Calibri" w:cs="Calibri"/>
                <w:color w:val="000000"/>
                <w:spacing w:val="-2"/>
                <w:sz w:val="20"/>
              </w:rPr>
              <w:t xml:space="preserve"> </w:t>
            </w:r>
            <w:r w:rsidR="001D1FC9">
              <w:rPr>
                <w:rFonts w:ascii="Calibri" w:eastAsia="Calibri" w:hAnsi="Calibri" w:cs="Calibri"/>
                <w:color w:val="000000"/>
                <w:spacing w:val="-2"/>
                <w:sz w:val="20"/>
              </w:rPr>
              <w:t xml:space="preserve">Глаголева С. М.,  </w:t>
            </w:r>
            <w:r w:rsidR="000E5A5A">
              <w:rPr>
                <w:rFonts w:ascii="Calibri" w:eastAsia="Calibri" w:hAnsi="Calibri" w:cs="Calibri"/>
                <w:color w:val="000000"/>
                <w:spacing w:val="-2"/>
                <w:sz w:val="20"/>
              </w:rPr>
              <w:t xml:space="preserve">действующего на основании </w:t>
            </w:r>
            <w:r>
              <w:rPr>
                <w:rFonts w:ascii="Calibri" w:eastAsia="Calibri" w:hAnsi="Calibri" w:cs="Calibri"/>
                <w:color w:val="000000"/>
                <w:spacing w:val="-2"/>
                <w:sz w:val="20"/>
              </w:rPr>
              <w:t>_______________________</w:t>
            </w:r>
            <w:r w:rsidR="001D1FC9">
              <w:rPr>
                <w:rFonts w:ascii="Calibri" w:eastAsia="Calibri" w:hAnsi="Calibri" w:cs="Calibri"/>
                <w:color w:val="000000"/>
                <w:spacing w:val="-2"/>
                <w:sz w:val="20"/>
              </w:rPr>
              <w:t>, с другой стороны, совместно именуемые в дальнейшем «Стороны», а по отдельности «Сторона», принимая во внимание, что:</w:t>
            </w:r>
            <w:proofErr w:type="gramEnd"/>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Оператор имеет лицензию на </w:t>
            </w:r>
            <w:proofErr w:type="spellStart"/>
            <w:r>
              <w:rPr>
                <w:rFonts w:ascii="Calibri" w:eastAsia="Calibri" w:hAnsi="Calibri" w:cs="Calibri"/>
                <w:color w:val="000000"/>
                <w:spacing w:val="-2"/>
                <w:sz w:val="20"/>
              </w:rPr>
              <w:t>телематические</w:t>
            </w:r>
            <w:proofErr w:type="spellEnd"/>
            <w:r>
              <w:rPr>
                <w:rFonts w:ascii="Calibri" w:eastAsia="Calibri" w:hAnsi="Calibri" w:cs="Calibri"/>
                <w:color w:val="000000"/>
                <w:spacing w:val="-2"/>
                <w:sz w:val="20"/>
              </w:rPr>
              <w:t xml:space="preserve"> услуги связи № 123042 от 28.08.2014 г., заключили настоящий Договор о нижеследующем:</w:t>
            </w:r>
          </w:p>
        </w:tc>
        <w:tc>
          <w:tcPr>
            <w:tcW w:w="115" w:type="dxa"/>
            <w:gridSpan w:val="2"/>
          </w:tcPr>
          <w:p w:rsidR="008A7CE8" w:rsidRDefault="008A7CE8"/>
        </w:tc>
      </w:tr>
      <w:tr w:rsidR="008A7CE8" w:rsidTr="002C43E7">
        <w:trPr>
          <w:trHeight w:val="229"/>
        </w:trPr>
        <w:tc>
          <w:tcPr>
            <w:tcW w:w="114" w:type="dxa"/>
          </w:tcPr>
          <w:p w:rsidR="008A7CE8" w:rsidRDefault="008A7CE8"/>
        </w:tc>
        <w:tc>
          <w:tcPr>
            <w:tcW w:w="10488" w:type="dxa"/>
            <w:gridSpan w:val="9"/>
            <w:shd w:val="clear" w:color="auto" w:fill="FFFFFF"/>
          </w:tcPr>
          <w:p w:rsidR="008A7CE8" w:rsidRDefault="001D1FC9">
            <w:pPr>
              <w:spacing w:line="232" w:lineRule="auto"/>
              <w:rPr>
                <w:rFonts w:ascii="Calibri" w:eastAsia="Calibri" w:hAnsi="Calibri" w:cs="Calibri"/>
                <w:b/>
                <w:color w:val="000000"/>
                <w:spacing w:val="-2"/>
                <w:sz w:val="20"/>
              </w:rPr>
            </w:pPr>
            <w:r>
              <w:rPr>
                <w:rFonts w:ascii="Calibri" w:eastAsia="Calibri" w:hAnsi="Calibri" w:cs="Calibri"/>
                <w:b/>
                <w:color w:val="000000"/>
                <w:spacing w:val="-2"/>
                <w:sz w:val="20"/>
              </w:rPr>
              <w:t>1. Предмет Договора</w:t>
            </w:r>
          </w:p>
        </w:tc>
        <w:tc>
          <w:tcPr>
            <w:tcW w:w="115" w:type="dxa"/>
            <w:gridSpan w:val="2"/>
          </w:tcPr>
          <w:p w:rsidR="008A7CE8" w:rsidRDefault="008A7CE8"/>
        </w:tc>
      </w:tr>
      <w:tr w:rsidR="008A7CE8" w:rsidTr="002C43E7">
        <w:trPr>
          <w:trHeight w:val="1433"/>
        </w:trPr>
        <w:tc>
          <w:tcPr>
            <w:tcW w:w="114" w:type="dxa"/>
          </w:tcPr>
          <w:p w:rsidR="008A7CE8" w:rsidRDefault="008A7CE8"/>
        </w:tc>
        <w:tc>
          <w:tcPr>
            <w:tcW w:w="10488" w:type="dxa"/>
            <w:gridSpan w:val="9"/>
            <w:vMerge w:val="restart"/>
            <w:shd w:val="clear" w:color="auto" w:fill="FFFFFF"/>
          </w:tcPr>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1.1. По настоящему Договору Оператор обязуется на возмездной основе и на основании оформляемых Сторонами Заказов оказывать Абоненту услуги, описанные в Приложении 2 к настоящему договору, далее Услуги:</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а) в пределах срока действия настоящего Договора оказывать Абоненту услуги связи из числ</w:t>
            </w:r>
            <w:bookmarkStart w:id="0" w:name="_GoBack"/>
            <w:bookmarkEnd w:id="0"/>
            <w:r>
              <w:rPr>
                <w:rFonts w:ascii="Calibri" w:eastAsia="Calibri" w:hAnsi="Calibri" w:cs="Calibri"/>
                <w:color w:val="000000"/>
                <w:spacing w:val="-2"/>
                <w:sz w:val="20"/>
              </w:rPr>
              <w:t xml:space="preserve">а услуг, предлагаемых Оператором на дату оформления соответствующего Заказа, состав которых, зависит от технологии  предоставления услуг; </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б) выполнять дополнительные работы, необходимые в связи с изменением условий Договора/ Заказа или размещением дополнительных Заказов на Услуги; Стоимость работ определяется в соответствующем Заказе.</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в) предоставить Абоненту возможность доступа к услугам связи, оказываемым другими операторами сети связи общего пользования; а Абонент обязуется принимать и своевременно оплачивать их.</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1.2. В Приложении №2 и в Заказах к настоящему Договору на предоставление Услуг указываются: наименование, состав, технические характеристики, адрес организации точки доступа к сети, вид (тип) оборудования Оператора, используемого для организации точки доступа к сети, адрес установки оборудования Оператора, схема его включения. В Заказах указывается стоимость Услуг, тарифный план, согласие (отказ) Абонента на использование сведений о нем при информационно-справочном обслуживании, технические показатели, характеризующие качество Услуг, технические нормы, в соответствии с которыми оказываются Услуги и технологически неразрывно связанные с ними услуги. Приложение №2 и Заказы являются неотъемлемой частью настоящего Договора.</w:t>
            </w:r>
          </w:p>
        </w:tc>
        <w:tc>
          <w:tcPr>
            <w:tcW w:w="115" w:type="dxa"/>
            <w:gridSpan w:val="2"/>
          </w:tcPr>
          <w:p w:rsidR="008A7CE8" w:rsidRDefault="008A7CE8"/>
        </w:tc>
      </w:tr>
      <w:tr w:rsidR="008A7CE8" w:rsidTr="002C43E7">
        <w:trPr>
          <w:trHeight w:val="802"/>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817"/>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215"/>
        </w:trPr>
        <w:tc>
          <w:tcPr>
            <w:tcW w:w="114" w:type="dxa"/>
          </w:tcPr>
          <w:p w:rsidR="008A7CE8" w:rsidRDefault="008A7CE8"/>
        </w:tc>
        <w:tc>
          <w:tcPr>
            <w:tcW w:w="10488" w:type="dxa"/>
            <w:gridSpan w:val="9"/>
            <w:shd w:val="clear" w:color="auto" w:fill="FFFFFF"/>
          </w:tcPr>
          <w:p w:rsidR="008A7CE8" w:rsidRDefault="001D1FC9">
            <w:pPr>
              <w:spacing w:line="232" w:lineRule="auto"/>
              <w:rPr>
                <w:rFonts w:ascii="Calibri" w:eastAsia="Calibri" w:hAnsi="Calibri" w:cs="Calibri"/>
                <w:b/>
                <w:color w:val="000000"/>
                <w:spacing w:val="-2"/>
                <w:sz w:val="20"/>
              </w:rPr>
            </w:pPr>
            <w:r>
              <w:rPr>
                <w:rFonts w:ascii="Calibri" w:eastAsia="Calibri" w:hAnsi="Calibri" w:cs="Calibri"/>
                <w:b/>
                <w:color w:val="000000"/>
                <w:spacing w:val="-2"/>
                <w:sz w:val="20"/>
              </w:rPr>
              <w:t>2. Объем Услуг</w:t>
            </w:r>
          </w:p>
        </w:tc>
        <w:tc>
          <w:tcPr>
            <w:tcW w:w="115" w:type="dxa"/>
            <w:gridSpan w:val="2"/>
          </w:tcPr>
          <w:p w:rsidR="008A7CE8" w:rsidRDefault="008A7CE8"/>
        </w:tc>
      </w:tr>
      <w:tr w:rsidR="008A7CE8" w:rsidTr="002C43E7">
        <w:trPr>
          <w:trHeight w:val="745"/>
        </w:trPr>
        <w:tc>
          <w:tcPr>
            <w:tcW w:w="114" w:type="dxa"/>
          </w:tcPr>
          <w:p w:rsidR="008A7CE8" w:rsidRDefault="008A7CE8"/>
        </w:tc>
        <w:tc>
          <w:tcPr>
            <w:tcW w:w="10488" w:type="dxa"/>
            <w:gridSpan w:val="9"/>
            <w:vMerge w:val="restart"/>
            <w:shd w:val="clear" w:color="auto" w:fill="FFFFFF"/>
          </w:tcPr>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2.1. Объем и состав предоставляемых Услуг определяется Заказами, подписанными Сторонами.</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2.2. Оператор обеспечивает Абоненту возможность получать Услуги 24 часа в сутки 7 дней в неделю.</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2.3. Предоставление Услуг может быть полностью или частично прервано Оператором с предварительным уведомлением об этом Абонента не позднее, чем за двое суток до запланированного перерыва, в связи с заменой оборудования Оператора, программного обеспечения или проведением других регламентных и профилактических работ на сети связи Оператора. При этом продолжительность перерывов в предоставлении Услуг не может в совокупности превышать четырех часов в течение месяца. Перерывы по возможности будут планироваться на время наименьшей потребности Абонента в связи.</w:t>
            </w:r>
          </w:p>
        </w:tc>
        <w:tc>
          <w:tcPr>
            <w:tcW w:w="115" w:type="dxa"/>
            <w:gridSpan w:val="2"/>
          </w:tcPr>
          <w:p w:rsidR="008A7CE8" w:rsidRDefault="008A7CE8"/>
        </w:tc>
      </w:tr>
      <w:tr w:rsidR="008A7CE8" w:rsidTr="002C43E7">
        <w:trPr>
          <w:trHeight w:val="731"/>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214"/>
        </w:trPr>
        <w:tc>
          <w:tcPr>
            <w:tcW w:w="114" w:type="dxa"/>
          </w:tcPr>
          <w:p w:rsidR="008A7CE8" w:rsidRDefault="008A7CE8"/>
        </w:tc>
        <w:tc>
          <w:tcPr>
            <w:tcW w:w="10488" w:type="dxa"/>
            <w:gridSpan w:val="9"/>
            <w:shd w:val="clear" w:color="auto" w:fill="FFFFFF"/>
          </w:tcPr>
          <w:p w:rsidR="008A7CE8" w:rsidRDefault="001D1FC9">
            <w:pPr>
              <w:spacing w:line="232" w:lineRule="auto"/>
              <w:rPr>
                <w:rFonts w:ascii="Calibri" w:eastAsia="Calibri" w:hAnsi="Calibri" w:cs="Calibri"/>
                <w:b/>
                <w:color w:val="000000"/>
                <w:spacing w:val="-2"/>
                <w:sz w:val="20"/>
              </w:rPr>
            </w:pPr>
            <w:r>
              <w:rPr>
                <w:rFonts w:ascii="Calibri" w:eastAsia="Calibri" w:hAnsi="Calibri" w:cs="Calibri"/>
                <w:b/>
                <w:color w:val="000000"/>
                <w:spacing w:val="-2"/>
                <w:sz w:val="20"/>
              </w:rPr>
              <w:t>3. Качество Услуг</w:t>
            </w:r>
          </w:p>
        </w:tc>
        <w:tc>
          <w:tcPr>
            <w:tcW w:w="115" w:type="dxa"/>
            <w:gridSpan w:val="2"/>
          </w:tcPr>
          <w:p w:rsidR="008A7CE8" w:rsidRDefault="008A7CE8"/>
        </w:tc>
      </w:tr>
      <w:tr w:rsidR="008A7CE8" w:rsidTr="002C43E7">
        <w:trPr>
          <w:trHeight w:val="1433"/>
        </w:trPr>
        <w:tc>
          <w:tcPr>
            <w:tcW w:w="114" w:type="dxa"/>
          </w:tcPr>
          <w:p w:rsidR="008A7CE8" w:rsidRDefault="008A7CE8"/>
        </w:tc>
        <w:tc>
          <w:tcPr>
            <w:tcW w:w="10488" w:type="dxa"/>
            <w:gridSpan w:val="9"/>
            <w:vMerge w:val="restart"/>
            <w:shd w:val="clear" w:color="auto" w:fill="FFFFFF"/>
          </w:tcPr>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3.1. Качество предоставляемых Оператором Услуг должно соответствовать заявленным в Приложении № 2 к настоящему Договору характеристикам, требованиям действующих в Российской Федерации технических норм и условиям имеющейся у Оператора лицензией. </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3.2. Качество предоставляемых Абоненту Услуг связи может ухудшаться под воздействием естественных причин, влияющих на условия распространения радиоволн (метеорологические условия и проч.).</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3.3. Поскольку программные и аппаратные средства и линии связи, образующие сети связи других операторов, находятся вне компетенции Оператора, качество и скорость соединения при выходе Абонента на сети других операторов связи может не соответствовать заявленным в Заказе характеристикам. Качество и скорость соединения при этом должно соответствовать фактически достигнутому техническому уровню на момент оказания Услуги. </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3.4. Оператор не несет ответственности за недостатки Услуг, возникшие вследствие использования Абонентом неисправного, не отвечающего установленным требованиям оборудования Абонента, либо оборудования Абонента, которое было изменено или модифицировано без согласования с производителем и Оператором.</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3.5. Границей зон ответственности за качество и доступность Услуг является порт оборудования Оператора, к которому подключается оборудование Абонента.</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3.6. Оператор не несет ответственности за функционирование приложений, находящихся в зоне ответственности Абонента и использующих Услугу в качестве транспортной среды для передачи разнородного трафика.</w:t>
            </w:r>
          </w:p>
        </w:tc>
        <w:tc>
          <w:tcPr>
            <w:tcW w:w="115" w:type="dxa"/>
            <w:gridSpan w:val="2"/>
          </w:tcPr>
          <w:p w:rsidR="008A7CE8" w:rsidRDefault="008A7CE8"/>
        </w:tc>
      </w:tr>
      <w:tr w:rsidR="008A7CE8" w:rsidTr="002C43E7">
        <w:trPr>
          <w:trHeight w:val="860"/>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874"/>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229"/>
        </w:trPr>
        <w:tc>
          <w:tcPr>
            <w:tcW w:w="114" w:type="dxa"/>
          </w:tcPr>
          <w:p w:rsidR="008A7CE8" w:rsidRDefault="008A7CE8"/>
        </w:tc>
        <w:tc>
          <w:tcPr>
            <w:tcW w:w="10488" w:type="dxa"/>
            <w:gridSpan w:val="9"/>
            <w:shd w:val="clear" w:color="auto" w:fill="FFFFFF"/>
          </w:tcPr>
          <w:p w:rsidR="008A7CE8" w:rsidRDefault="001D1FC9">
            <w:pPr>
              <w:spacing w:line="232" w:lineRule="auto"/>
              <w:rPr>
                <w:rFonts w:ascii="Calibri" w:eastAsia="Calibri" w:hAnsi="Calibri" w:cs="Calibri"/>
                <w:b/>
                <w:color w:val="000000"/>
                <w:spacing w:val="-2"/>
                <w:sz w:val="20"/>
              </w:rPr>
            </w:pPr>
            <w:r>
              <w:rPr>
                <w:rFonts w:ascii="Calibri" w:eastAsia="Calibri" w:hAnsi="Calibri" w:cs="Calibri"/>
                <w:b/>
                <w:color w:val="000000"/>
                <w:spacing w:val="-2"/>
                <w:sz w:val="20"/>
              </w:rPr>
              <w:t>4. Стоимость Услуг</w:t>
            </w:r>
          </w:p>
        </w:tc>
        <w:tc>
          <w:tcPr>
            <w:tcW w:w="115" w:type="dxa"/>
            <w:gridSpan w:val="2"/>
          </w:tcPr>
          <w:p w:rsidR="008A7CE8" w:rsidRDefault="008A7CE8"/>
        </w:tc>
      </w:tr>
      <w:tr w:rsidR="008A7CE8" w:rsidTr="002C43E7">
        <w:trPr>
          <w:trHeight w:val="1433"/>
        </w:trPr>
        <w:tc>
          <w:tcPr>
            <w:tcW w:w="114" w:type="dxa"/>
          </w:tcPr>
          <w:p w:rsidR="008A7CE8" w:rsidRDefault="008A7CE8"/>
        </w:tc>
        <w:tc>
          <w:tcPr>
            <w:tcW w:w="10488" w:type="dxa"/>
            <w:gridSpan w:val="9"/>
            <w:shd w:val="clear" w:color="auto" w:fill="FFFFFF"/>
          </w:tcPr>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4.1. Абонент оплачивает Услуги согласно выбранному им тарифному плану.</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4.2. Тарифы на Услуги указаны в тарифных планах без учета НДС в рублях.</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4.3. Оператор вправе в одностороннем порядке изменить предусмотренные тарифными планами тарифы на Услуги, условия и сроки оплаты, уведомив Абонента факсимильной или электронной почтой не позднее, чем за 10 (десять) календарных дней до даты введения изменения в действие с последующим письменным уведомлением (направленным почтой или курьерской связью).</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4.4. Тарифные планы на Услуги могут включать следующие платежи:</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а) единовременную плату за подключение Услуги;</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б) ежемесячную абонентскую плату за пользование Услугами;</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в) единовременную плату за перенос подключения на другой адрес или перенос оборудования Оператора на другое </w:t>
            </w:r>
            <w:r>
              <w:rPr>
                <w:rFonts w:ascii="Calibri" w:eastAsia="Calibri" w:hAnsi="Calibri" w:cs="Calibri"/>
                <w:color w:val="000000"/>
                <w:spacing w:val="-2"/>
                <w:sz w:val="20"/>
              </w:rPr>
              <w:lastRenderedPageBreak/>
              <w:t>место размещения;</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4.5. Под единовременной платой  за подключение Услуги понимается:</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 стоимость работ по формированию абонентской линии и ее подключению к узлу связи в целях </w:t>
            </w:r>
            <w:proofErr w:type="gramStart"/>
            <w:r>
              <w:rPr>
                <w:rFonts w:ascii="Calibri" w:eastAsia="Calibri" w:hAnsi="Calibri" w:cs="Calibri"/>
                <w:color w:val="000000"/>
                <w:spacing w:val="-2"/>
                <w:sz w:val="20"/>
              </w:rPr>
              <w:t>обеспечения возможности получения Услуг связи</w:t>
            </w:r>
            <w:proofErr w:type="gramEnd"/>
            <w:r>
              <w:rPr>
                <w:rFonts w:ascii="Calibri" w:eastAsia="Calibri" w:hAnsi="Calibri" w:cs="Calibri"/>
                <w:color w:val="000000"/>
                <w:spacing w:val="-2"/>
                <w:sz w:val="20"/>
              </w:rPr>
              <w:t xml:space="preserve"> Абонентом (предоставление доступа к сети связи);</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 стоимость дополнительных работ, необходимых в связи с изменением по инициативе Абонента условий Договора/ Заказа или размещением дополнительных Заказов на Услуги.</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4.6. Ежемесячная абонентская плата за Услуги связи представляет собой плату за предоставление Абоненту в постоянное пользование абонентской линии и может включать в себя стоимость предоплаченных Услуг в объеме, предусмотренном тарифным планом.</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4.7. Учет объема предоставленных Абоненту Услуг осуществляется в единицах тарификации, указанных в тарифных планах.</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4.8. Учет объема фактически оказанных Абоненту Услуг осуществляется Оператором с использованием  Автоматизированной системы расчетов (системы </w:t>
            </w:r>
            <w:proofErr w:type="spellStart"/>
            <w:r>
              <w:rPr>
                <w:rFonts w:ascii="Calibri" w:eastAsia="Calibri" w:hAnsi="Calibri" w:cs="Calibri"/>
                <w:color w:val="000000"/>
                <w:spacing w:val="-2"/>
                <w:sz w:val="20"/>
              </w:rPr>
              <w:t>биллинга</w:t>
            </w:r>
            <w:proofErr w:type="spellEnd"/>
            <w:r>
              <w:rPr>
                <w:rFonts w:ascii="Calibri" w:eastAsia="Calibri" w:hAnsi="Calibri" w:cs="Calibri"/>
                <w:color w:val="000000"/>
                <w:spacing w:val="-2"/>
                <w:sz w:val="20"/>
              </w:rPr>
              <w:t>).</w:t>
            </w:r>
          </w:p>
        </w:tc>
        <w:tc>
          <w:tcPr>
            <w:tcW w:w="115" w:type="dxa"/>
            <w:gridSpan w:val="2"/>
          </w:tcPr>
          <w:p w:rsidR="008A7CE8" w:rsidRDefault="008A7CE8"/>
        </w:tc>
      </w:tr>
      <w:tr w:rsidR="008A7CE8" w:rsidTr="002C43E7">
        <w:trPr>
          <w:trHeight w:val="158"/>
        </w:trPr>
        <w:tc>
          <w:tcPr>
            <w:tcW w:w="114" w:type="dxa"/>
          </w:tcPr>
          <w:p w:rsidR="008A7CE8" w:rsidRDefault="008A7CE8"/>
        </w:tc>
        <w:tc>
          <w:tcPr>
            <w:tcW w:w="10488" w:type="dxa"/>
            <w:gridSpan w:val="9"/>
            <w:shd w:val="clear" w:color="auto" w:fill="FFFFFF"/>
          </w:tcPr>
          <w:p w:rsidR="008A7CE8" w:rsidRDefault="001D1FC9">
            <w:pPr>
              <w:spacing w:line="232" w:lineRule="auto"/>
              <w:rPr>
                <w:rFonts w:ascii="Calibri" w:eastAsia="Calibri" w:hAnsi="Calibri" w:cs="Calibri"/>
                <w:b/>
                <w:color w:val="000000"/>
                <w:spacing w:val="-2"/>
                <w:sz w:val="20"/>
              </w:rPr>
            </w:pPr>
            <w:r>
              <w:rPr>
                <w:rFonts w:ascii="Calibri" w:eastAsia="Calibri" w:hAnsi="Calibri" w:cs="Calibri"/>
                <w:b/>
                <w:color w:val="000000"/>
                <w:spacing w:val="-2"/>
                <w:sz w:val="20"/>
              </w:rPr>
              <w:t>5. Расчеты, счета-фактуры</w:t>
            </w:r>
          </w:p>
        </w:tc>
        <w:tc>
          <w:tcPr>
            <w:tcW w:w="115" w:type="dxa"/>
            <w:gridSpan w:val="2"/>
          </w:tcPr>
          <w:p w:rsidR="008A7CE8" w:rsidRDefault="008A7CE8"/>
        </w:tc>
      </w:tr>
      <w:tr w:rsidR="008A7CE8" w:rsidTr="002C43E7">
        <w:trPr>
          <w:trHeight w:val="71"/>
        </w:trPr>
        <w:tc>
          <w:tcPr>
            <w:tcW w:w="114" w:type="dxa"/>
          </w:tcPr>
          <w:p w:rsidR="008A7CE8" w:rsidRDefault="008A7CE8"/>
        </w:tc>
        <w:tc>
          <w:tcPr>
            <w:tcW w:w="10488" w:type="dxa"/>
            <w:gridSpan w:val="9"/>
            <w:vMerge w:val="restart"/>
            <w:shd w:val="clear" w:color="auto" w:fill="FFFFFF"/>
          </w:tcPr>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5.1. Оплата фиксированных платежей (</w:t>
            </w:r>
            <w:proofErr w:type="spellStart"/>
            <w:r>
              <w:rPr>
                <w:rFonts w:ascii="Calibri" w:eastAsia="Calibri" w:hAnsi="Calibri" w:cs="Calibri"/>
                <w:color w:val="000000"/>
                <w:spacing w:val="-2"/>
                <w:sz w:val="20"/>
              </w:rPr>
              <w:t>пп</w:t>
            </w:r>
            <w:proofErr w:type="spellEnd"/>
            <w:r>
              <w:rPr>
                <w:rFonts w:ascii="Calibri" w:eastAsia="Calibri" w:hAnsi="Calibri" w:cs="Calibri"/>
                <w:color w:val="000000"/>
                <w:spacing w:val="-2"/>
                <w:sz w:val="20"/>
              </w:rPr>
              <w:t>. «а» - «в» п.4.5 Договора) осуществляется Абонентом авансом на основании выставленных Оператором счетов. Счета могут выставляться посредством факсимильной связи или в электронном виде по номеру и /или адресу, указанному в регистрационной форме к настоящему договору или в соответствующем заявлении Абонента с последующим представлением оригиналов по адресу Абонента, указанному в регистрационной форме (Приложение №1 к настоящему Договору).</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Если предоставление Абоненту Услуги  осуществлено не с первого числа месяца, размер абонентской платы и количество включенного предоплаченного трафика в месяце начала предоставления Услуг связи определяется исходя из фактического количества дней в месяце, в течение которых услуга была предоставлена, включая день подключения.  </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Расчетным месяцем считается месяц непосредственного предоставления Услуг.</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5.2. Счета на абонентскую плату за Услуги выставляются Оператором не позднее 5-го числа расчетного месяца. В случае начала оказания Услуг не с начала расчетного месяца, счета за оказанные Услуги выставляются Оператором не позднее 5-го числа месяца, следующего </w:t>
            </w:r>
            <w:proofErr w:type="gramStart"/>
            <w:r>
              <w:rPr>
                <w:rFonts w:ascii="Calibri" w:eastAsia="Calibri" w:hAnsi="Calibri" w:cs="Calibri"/>
                <w:color w:val="000000"/>
                <w:spacing w:val="-2"/>
                <w:sz w:val="20"/>
              </w:rPr>
              <w:t>за</w:t>
            </w:r>
            <w:proofErr w:type="gramEnd"/>
            <w:r>
              <w:rPr>
                <w:rFonts w:ascii="Calibri" w:eastAsia="Calibri" w:hAnsi="Calibri" w:cs="Calibri"/>
                <w:color w:val="000000"/>
                <w:spacing w:val="-2"/>
                <w:sz w:val="20"/>
              </w:rPr>
              <w:t xml:space="preserve"> расчетным.</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5.3. Абонент оплачивает счета, указанные в п. 5.2 и 5.3 настоящего Договора, до 20-го числа месяца, в котором они выставлены. Абонент вправе произвести оплату Услуг досрочно, до выставления счета. Отправка оригиналов счетов, счетов-фактур и актов сдачи-приемки оказанных услуг связи по </w:t>
            </w:r>
            <w:proofErr w:type="spellStart"/>
            <w:r>
              <w:rPr>
                <w:rFonts w:ascii="Calibri" w:eastAsia="Calibri" w:hAnsi="Calibri" w:cs="Calibri"/>
                <w:color w:val="000000"/>
                <w:spacing w:val="-2"/>
                <w:sz w:val="20"/>
              </w:rPr>
              <w:t>п.п</w:t>
            </w:r>
            <w:proofErr w:type="spellEnd"/>
            <w:r>
              <w:rPr>
                <w:rFonts w:ascii="Calibri" w:eastAsia="Calibri" w:hAnsi="Calibri" w:cs="Calibri"/>
                <w:color w:val="000000"/>
                <w:spacing w:val="-2"/>
                <w:sz w:val="20"/>
              </w:rPr>
              <w:t xml:space="preserve">. «а» и «в» п.4.5 Договора  производится Оператором почтовой или курьерской связью по адресу, указанному в Приложении №1 к настоящему Договору. Абонент вправе самостоятельно получать счета, счета-фактуры и акты сдачи-приемки оказанных услуг связи по </w:t>
            </w:r>
            <w:proofErr w:type="spellStart"/>
            <w:r>
              <w:rPr>
                <w:rFonts w:ascii="Calibri" w:eastAsia="Calibri" w:hAnsi="Calibri" w:cs="Calibri"/>
                <w:color w:val="000000"/>
                <w:spacing w:val="-2"/>
                <w:sz w:val="20"/>
              </w:rPr>
              <w:t>п.п</w:t>
            </w:r>
            <w:proofErr w:type="spellEnd"/>
            <w:r>
              <w:rPr>
                <w:rFonts w:ascii="Calibri" w:eastAsia="Calibri" w:hAnsi="Calibri" w:cs="Calibri"/>
                <w:color w:val="000000"/>
                <w:spacing w:val="-2"/>
                <w:sz w:val="20"/>
              </w:rPr>
              <w:t>. «а», и «в» п.4.5 Договора  в офисе Оператора, для чего он должен направить Оператору соответствующее письменное заявление. В этом случае обязательства по доставке указанных документов с Оператора снимаются.</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5.4. В случае несогласия Абонента с суммой счета он вправе в срок до 20-го числа месяца, в котором выставлен счет, запросить детализацию оказанных ему в спорный период Услуг, выполненную с использованием системы </w:t>
            </w:r>
            <w:proofErr w:type="spellStart"/>
            <w:r>
              <w:rPr>
                <w:rFonts w:ascii="Calibri" w:eastAsia="Calibri" w:hAnsi="Calibri" w:cs="Calibri"/>
                <w:color w:val="000000"/>
                <w:spacing w:val="-2"/>
                <w:sz w:val="20"/>
              </w:rPr>
              <w:t>биллинга</w:t>
            </w:r>
            <w:proofErr w:type="spellEnd"/>
            <w:r>
              <w:rPr>
                <w:rFonts w:ascii="Calibri" w:eastAsia="Calibri" w:hAnsi="Calibri" w:cs="Calibri"/>
                <w:color w:val="000000"/>
                <w:spacing w:val="-2"/>
                <w:sz w:val="20"/>
              </w:rPr>
              <w:t>. Оператор обязан в течение 10(десяти) рабочих дней бесплатно подготовить и предоставить Абоненту детализацию оказанных Услуг, а также, в случае подтверждения обоснованности претензий Абонента, произвести корректировку выставленного счета в следующем расчетном периоде. Срок оплаты Услуг при этом корректировке не подлежит.</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5.5. Все расчеты по настоящему Договору осуществляются в рублях в безналичном порядке путем перечисления денежных средств на расчетный счет Оператора, или другими, установленными законодательством Российской Федерации способами платежа, в том числе и электронными.</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5.6. Денежное обязательство Абонента считается исполненным с момента поступления денежных средств на расчетный счет Оператора или в иные сроки, установленные законодательством Российской Федерации, при осуществлении расчетов  через электронные системы и другие системы оплаты.</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5.7. Оператор предоставляет Абоненту счета-фактуры по форме, в порядке и в сроки, установленные действующим законодательством, почтовой или курьерской связью.</w:t>
            </w:r>
          </w:p>
        </w:tc>
        <w:tc>
          <w:tcPr>
            <w:tcW w:w="115" w:type="dxa"/>
            <w:gridSpan w:val="2"/>
          </w:tcPr>
          <w:p w:rsidR="008A7CE8" w:rsidRDefault="008A7CE8"/>
        </w:tc>
      </w:tr>
      <w:tr w:rsidR="008A7CE8" w:rsidTr="002C43E7">
        <w:trPr>
          <w:trHeight w:val="1433"/>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1433"/>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1433"/>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831"/>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831"/>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57"/>
        </w:trPr>
        <w:tc>
          <w:tcPr>
            <w:tcW w:w="114" w:type="dxa"/>
          </w:tcPr>
          <w:p w:rsidR="008A7CE8" w:rsidRDefault="008A7CE8"/>
        </w:tc>
        <w:tc>
          <w:tcPr>
            <w:tcW w:w="10488" w:type="dxa"/>
            <w:gridSpan w:val="9"/>
            <w:vMerge w:val="restart"/>
            <w:shd w:val="clear" w:color="auto" w:fill="FFFFFF"/>
          </w:tcPr>
          <w:p w:rsidR="008A7CE8" w:rsidRDefault="001D1FC9">
            <w:pPr>
              <w:spacing w:line="232" w:lineRule="auto"/>
              <w:rPr>
                <w:rFonts w:ascii="Calibri" w:eastAsia="Calibri" w:hAnsi="Calibri" w:cs="Calibri"/>
                <w:b/>
                <w:color w:val="000000"/>
                <w:spacing w:val="-2"/>
                <w:sz w:val="20"/>
              </w:rPr>
            </w:pPr>
            <w:r>
              <w:rPr>
                <w:rFonts w:ascii="Calibri" w:eastAsia="Calibri" w:hAnsi="Calibri" w:cs="Calibri"/>
                <w:b/>
                <w:color w:val="000000"/>
                <w:spacing w:val="-2"/>
                <w:sz w:val="20"/>
              </w:rPr>
              <w:t>6. Подключение Услуг</w:t>
            </w:r>
          </w:p>
        </w:tc>
        <w:tc>
          <w:tcPr>
            <w:tcW w:w="115" w:type="dxa"/>
            <w:gridSpan w:val="2"/>
          </w:tcPr>
          <w:p w:rsidR="008A7CE8" w:rsidRDefault="008A7CE8"/>
        </w:tc>
      </w:tr>
      <w:tr w:rsidR="008A7CE8" w:rsidTr="002C43E7">
        <w:trPr>
          <w:trHeight w:val="172"/>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1433"/>
        </w:trPr>
        <w:tc>
          <w:tcPr>
            <w:tcW w:w="114" w:type="dxa"/>
          </w:tcPr>
          <w:p w:rsidR="008A7CE8" w:rsidRDefault="008A7CE8"/>
        </w:tc>
        <w:tc>
          <w:tcPr>
            <w:tcW w:w="10488" w:type="dxa"/>
            <w:gridSpan w:val="9"/>
            <w:vMerge w:val="restart"/>
            <w:shd w:val="clear" w:color="auto" w:fill="FFFFFF"/>
          </w:tcPr>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6.1. </w:t>
            </w:r>
            <w:proofErr w:type="gramStart"/>
            <w:r>
              <w:rPr>
                <w:rFonts w:ascii="Calibri" w:eastAsia="Calibri" w:hAnsi="Calibri" w:cs="Calibri"/>
                <w:color w:val="000000"/>
                <w:spacing w:val="-2"/>
                <w:sz w:val="20"/>
              </w:rPr>
              <w:t xml:space="preserve">Оператор обязуется предоставить доступ к сети связи для получения заказанных Абонентом Услуг (далее по тексту - «подключить Услуги») и начать их предоставление в срок, установленный для каждой Услуги в Приложении №2 к настоящему Договору, при условии своевременного исполнения Абонентом  условий </w:t>
            </w:r>
            <w:proofErr w:type="spellStart"/>
            <w:r>
              <w:rPr>
                <w:rFonts w:ascii="Calibri" w:eastAsia="Calibri" w:hAnsi="Calibri" w:cs="Calibri"/>
                <w:color w:val="000000"/>
                <w:spacing w:val="-2"/>
                <w:sz w:val="20"/>
              </w:rPr>
              <w:t>пп</w:t>
            </w:r>
            <w:proofErr w:type="spellEnd"/>
            <w:r>
              <w:rPr>
                <w:rFonts w:ascii="Calibri" w:eastAsia="Calibri" w:hAnsi="Calibri" w:cs="Calibri"/>
                <w:color w:val="000000"/>
                <w:spacing w:val="-2"/>
                <w:sz w:val="20"/>
              </w:rPr>
              <w:t>. «в» - «д» п.8.2 настоящего Договора, если иной срок не согласован Сторонами в Заказе.</w:t>
            </w:r>
            <w:proofErr w:type="gramEnd"/>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6.2. Для предоставления доступа к сети связи Оператор устанавливает оборудование Оператора.</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ab/>
              <w:t>В случае если оборудования Оператора уже было размещено у Абонента ранее (во исполнение заключенных Сторонами Договоров или Заказов), Оператор осуществляет модернизацию и настройку оборудования Оператора, а также проводит дополнительные работы на узле связи, необходимые в связи с изменением условий Договора/ Заказа или размещением дополнительных Заказов на Услуги.</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6.3. Оборудование Оператора устанавливается на срок действия настоящего Договора. Абонент не приобретает никаких прав на оборудование Оператора и обязан вернуть его по требованию Оператора, направленному Абоненту по факсу или электронной почте, в случаях, определенных в Приложении №2 к  настоящему Договору.</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6.4. Настройку оборудования Абонент</w:t>
            </w:r>
            <w:proofErr w:type="gramStart"/>
            <w:r>
              <w:rPr>
                <w:rFonts w:ascii="Calibri" w:eastAsia="Calibri" w:hAnsi="Calibri" w:cs="Calibri"/>
                <w:color w:val="000000"/>
                <w:spacing w:val="-2"/>
                <w:sz w:val="20"/>
              </w:rPr>
              <w:t>а(</w:t>
            </w:r>
            <w:proofErr w:type="gramEnd"/>
            <w:r>
              <w:rPr>
                <w:rFonts w:ascii="Calibri" w:eastAsia="Calibri" w:hAnsi="Calibri" w:cs="Calibri"/>
                <w:color w:val="000000"/>
                <w:spacing w:val="-2"/>
                <w:sz w:val="20"/>
              </w:rPr>
              <w:t>персонального компьютера, локальной вычислительной сети), принадлежащего Абоненту и предназначенного для получения Услуг, Абонент осуществляет собственными силами и за свой счет.</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6.5. Возможность получения Услуги демонстрируется Абоненту представителем Оператора, осуществившим подключение, на оконечном оборудовании Оператора, и отражается сторонами в соответствующем Акте, который оформляется в 2-х экземплярах. </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6.6. В указанном в п.6.5 Договора Акте фиксируется дата и время подключения Услуг и дата начала предоставления Услуг, </w:t>
            </w:r>
            <w:r>
              <w:rPr>
                <w:rFonts w:ascii="Calibri" w:eastAsia="Calibri" w:hAnsi="Calibri" w:cs="Calibri"/>
                <w:color w:val="000000"/>
                <w:spacing w:val="-2"/>
                <w:sz w:val="20"/>
              </w:rPr>
              <w:lastRenderedPageBreak/>
              <w:t>а также перечень устройств оборудования Оператора, установленных для оказания Услуг.</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6.7. Абонент обязан подписать указанный в п.6.5 Договора Акт или представить Оператору письменный обоснованный отказ от его подписания в течение одного часа с момента демонстрации Услуги. В противном случае подключение считается принятым Абонентом, а предоставление Услуг - начатым. По письменному заявлению Абонента предоставление Услуг может быть начато не в день подключения, а с даты, указанной в заявлении, в срок не более 5 рабочих дней.</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6.8. По письменному заявлению Абонента Оператор осуществляет перенос оборудования Оператора на другой адрес или на другое место размещения при  наличии технической возможности оказывать Услугу. При этом предоставление Услуги связи Абоненту по прежнему адресу прекращается в день подключения Услуги по новому адресу, если иное не указано в Заказе на перенос подключения.</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6.9. Оператор в течение 10 (десяти) банковских дней с момента получения требования Абонента возвращает Абоненту сумму внесенной им единовременной платы за подключение Услуг в случае, если в процессе размещения или модернизации оборудования Оператора будет выявлена техническая невозможность предоставления Услуг Абоненту по стандартной схеме.</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6.10. Оператор не возмещает Абоненту сумму единовременной платы за подключение Услуг, если Абоненту были предоставлены Услуги в течение 30 (тридцати) календарных дней с момента подключения или модернизации оборудования Оператора, и в указанный срок Абонентом не </w:t>
            </w:r>
            <w:proofErr w:type="gramStart"/>
            <w:r>
              <w:rPr>
                <w:rFonts w:ascii="Calibri" w:eastAsia="Calibri" w:hAnsi="Calibri" w:cs="Calibri"/>
                <w:color w:val="000000"/>
                <w:spacing w:val="-2"/>
                <w:sz w:val="20"/>
              </w:rPr>
              <w:t>заявлялись</w:t>
            </w:r>
            <w:proofErr w:type="gramEnd"/>
            <w:r>
              <w:rPr>
                <w:rFonts w:ascii="Calibri" w:eastAsia="Calibri" w:hAnsi="Calibri" w:cs="Calibri"/>
                <w:color w:val="000000"/>
                <w:spacing w:val="-2"/>
                <w:sz w:val="20"/>
              </w:rPr>
              <w:t xml:space="preserve"> письменные мотивированные претензии относительно качества предоставленных Услуг.</w:t>
            </w:r>
          </w:p>
        </w:tc>
        <w:tc>
          <w:tcPr>
            <w:tcW w:w="115" w:type="dxa"/>
            <w:gridSpan w:val="2"/>
          </w:tcPr>
          <w:p w:rsidR="008A7CE8" w:rsidRDefault="008A7CE8"/>
        </w:tc>
      </w:tr>
      <w:tr w:rsidR="008A7CE8" w:rsidTr="002C43E7">
        <w:trPr>
          <w:trHeight w:val="1433"/>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1433"/>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773"/>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788"/>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115"/>
        </w:trPr>
        <w:tc>
          <w:tcPr>
            <w:tcW w:w="114" w:type="dxa"/>
          </w:tcPr>
          <w:p w:rsidR="008A7CE8" w:rsidRDefault="008A7CE8"/>
        </w:tc>
        <w:tc>
          <w:tcPr>
            <w:tcW w:w="10488" w:type="dxa"/>
            <w:gridSpan w:val="9"/>
            <w:vMerge w:val="restart"/>
            <w:shd w:val="clear" w:color="auto" w:fill="FFFFFF"/>
          </w:tcPr>
          <w:p w:rsidR="008A7CE8" w:rsidRDefault="001D1FC9">
            <w:pPr>
              <w:spacing w:line="232" w:lineRule="auto"/>
              <w:rPr>
                <w:rFonts w:ascii="Calibri" w:eastAsia="Calibri" w:hAnsi="Calibri" w:cs="Calibri"/>
                <w:b/>
                <w:color w:val="000000"/>
                <w:spacing w:val="-2"/>
                <w:sz w:val="20"/>
              </w:rPr>
            </w:pPr>
            <w:r>
              <w:rPr>
                <w:rFonts w:ascii="Calibri" w:eastAsia="Calibri" w:hAnsi="Calibri" w:cs="Calibri"/>
                <w:b/>
                <w:color w:val="000000"/>
                <w:spacing w:val="-2"/>
                <w:sz w:val="20"/>
              </w:rPr>
              <w:t>7. Права и обязанности Оператора</w:t>
            </w:r>
          </w:p>
        </w:tc>
        <w:tc>
          <w:tcPr>
            <w:tcW w:w="115" w:type="dxa"/>
            <w:gridSpan w:val="2"/>
          </w:tcPr>
          <w:p w:rsidR="008A7CE8" w:rsidRDefault="008A7CE8"/>
        </w:tc>
      </w:tr>
      <w:tr w:rsidR="008A7CE8" w:rsidTr="002C43E7">
        <w:trPr>
          <w:trHeight w:val="115"/>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1232"/>
        </w:trPr>
        <w:tc>
          <w:tcPr>
            <w:tcW w:w="114" w:type="dxa"/>
          </w:tcPr>
          <w:p w:rsidR="008A7CE8" w:rsidRDefault="008A7CE8"/>
        </w:tc>
        <w:tc>
          <w:tcPr>
            <w:tcW w:w="10488" w:type="dxa"/>
            <w:gridSpan w:val="9"/>
            <w:shd w:val="clear" w:color="auto" w:fill="FFFFFF"/>
          </w:tcPr>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7.1. Оператор обязуется устранять повреждения, препятствующие пользованию Услугами в течение трех рабочих дней, при условии возможности проведения Оператором аварийных работ с учётом требований правил по технике безопасности и обеспечения Абонентом беспрепятственного доступа к размещённому у него оборудованию Оператора.</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При обращении Абонента в выходные и нерабочие праздничные дни, по согласованию с Абонентом устранение повреждений производится в трехдневный срок, начиная с первого рабочего дня, следующего за выходным или нерабочим праздничным днём.</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7.2. Оператор обязан соблюдать сроки и порядок устранения неисправностей, препятствующих пользованию Услугами;</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7.3. Оператор вправе:</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а) использовать размещенное у Абонента оборудование Оператора, принадлежащее  Оператору, для оказания Услуг третьим лицам;</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б) оказывать Услуги собственными силами или привлекать к исполнению обязательств по настоящему Договору третьих лиц, имеющих все необходимые лицензии и разрешения;</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в) проверять исправность и сохранность, а также технические условия размещения и эксплуатации оборудования Оператора, установленного для оказания Услуг;</w:t>
            </w:r>
          </w:p>
        </w:tc>
        <w:tc>
          <w:tcPr>
            <w:tcW w:w="115" w:type="dxa"/>
            <w:gridSpan w:val="2"/>
          </w:tcPr>
          <w:p w:rsidR="008A7CE8" w:rsidRDefault="008A7CE8"/>
        </w:tc>
      </w:tr>
      <w:tr w:rsidR="008A7CE8" w:rsidTr="002C43E7">
        <w:trPr>
          <w:trHeight w:val="1432"/>
        </w:trPr>
        <w:tc>
          <w:tcPr>
            <w:tcW w:w="114" w:type="dxa"/>
          </w:tcPr>
          <w:p w:rsidR="008A7CE8" w:rsidRDefault="008A7CE8"/>
        </w:tc>
        <w:tc>
          <w:tcPr>
            <w:tcW w:w="10488" w:type="dxa"/>
            <w:gridSpan w:val="9"/>
            <w:vMerge w:val="restart"/>
            <w:shd w:val="clear" w:color="auto" w:fill="FFFFFF"/>
          </w:tcPr>
          <w:p w:rsidR="008A7CE8" w:rsidRDefault="001D1FC9" w:rsidP="00073D1D">
            <w:pPr>
              <w:spacing w:line="232" w:lineRule="auto"/>
              <w:ind w:left="171" w:hanging="171"/>
              <w:rPr>
                <w:rFonts w:ascii="Calibri" w:eastAsia="Calibri" w:hAnsi="Calibri" w:cs="Calibri"/>
                <w:color w:val="000000"/>
                <w:spacing w:val="-2"/>
                <w:sz w:val="20"/>
              </w:rPr>
            </w:pPr>
            <w:r>
              <w:rPr>
                <w:rFonts w:ascii="Calibri" w:eastAsia="Calibri" w:hAnsi="Calibri" w:cs="Calibri"/>
                <w:color w:val="000000"/>
                <w:spacing w:val="-2"/>
                <w:sz w:val="20"/>
              </w:rPr>
              <w:t>г) проверять тип, вид и наличие необходимых сертификатов соответствия оборудования Абонента и программного обеспечения, используемого Абонентом для получения Услуг;</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д) выставить Абоненту счет на оплату ремонта или замену оборудования Оператора (в случае, если оборудование Оператора ремонту не подлежит) и проезда специалистов к месту ремонта, если установлено, что поломка оборудования Оператора произошла по вине Абонента или в зоне ответственности Абонента по вине 3 – х лиц, или обстоятельств непреодолимой силы.</w:t>
            </w:r>
            <w:r>
              <w:rPr>
                <w:rFonts w:ascii="Calibri" w:eastAsia="Calibri" w:hAnsi="Calibri" w:cs="Calibri"/>
                <w:color w:val="000000"/>
                <w:spacing w:val="-2"/>
                <w:sz w:val="20"/>
              </w:rPr>
              <w:tab/>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7.4. Оператор вправе с предварительным уведомлением Абонента временно приостановить предоставление Услуг в случае нарушения Абонентом условий </w:t>
            </w:r>
            <w:proofErr w:type="spellStart"/>
            <w:r>
              <w:rPr>
                <w:rFonts w:ascii="Calibri" w:eastAsia="Calibri" w:hAnsi="Calibri" w:cs="Calibri"/>
                <w:color w:val="000000"/>
                <w:spacing w:val="-2"/>
                <w:sz w:val="20"/>
              </w:rPr>
              <w:t>пп</w:t>
            </w:r>
            <w:proofErr w:type="spellEnd"/>
            <w:r>
              <w:rPr>
                <w:rFonts w:ascii="Calibri" w:eastAsia="Calibri" w:hAnsi="Calibri" w:cs="Calibri"/>
                <w:color w:val="000000"/>
                <w:spacing w:val="-2"/>
                <w:sz w:val="20"/>
              </w:rPr>
              <w:t>. «в» - «л» п.8.2. настоящего Договора.</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В случае не устранения такого нарушения </w:t>
            </w:r>
            <w:proofErr w:type="gramStart"/>
            <w:r>
              <w:rPr>
                <w:rFonts w:ascii="Calibri" w:eastAsia="Calibri" w:hAnsi="Calibri" w:cs="Calibri"/>
                <w:color w:val="000000"/>
                <w:spacing w:val="-2"/>
                <w:sz w:val="20"/>
              </w:rPr>
              <w:t>в течение шести месяцев со дня получения Абонентом от Оператора уведомления в письменной форме о намерении</w:t>
            </w:r>
            <w:proofErr w:type="gramEnd"/>
            <w:r>
              <w:rPr>
                <w:rFonts w:ascii="Calibri" w:eastAsia="Calibri" w:hAnsi="Calibri" w:cs="Calibri"/>
                <w:color w:val="000000"/>
                <w:spacing w:val="-2"/>
                <w:sz w:val="20"/>
              </w:rPr>
              <w:t xml:space="preserve"> приостановить оказание Услуг, Оператор в одностороннем порядке вправе расторгнуть договор об оказании услуг связи.</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Возобновление предоставления Услуг осуществляется Оператором в следующие сроки:</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 в течение одного рабочего дня со дня ликвидации задолженности по оплате Услуг (п.5.7 договора) или после устранения Абонентом нарушений, послуживших основанием приостановления, если нарушение продлилось менее 60 (шестидесяти) дней;</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 не позднее сроков, установленных настоящим Договором, после устранения Абонентом нарушений, послуживших основанием приостановления предоставления Услуг, и предоставления Абонентом доступа  к месту размещения оборудования Оператора, если нарушение продлилось более 60 (шестидесяти) дней. Если в этот период был произведен демонтаж оборудования Оператора, возобновление оказания Услуг  осуществляется Оператором при условии оплаты Абонентом единовременного платежа за  монтаж оборудования Оператора.  </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7.5. Оператор вправе также приостановить или ограничить доступ Абонента к услугам связи, предоставляемым другими операторами сети связи общего пользования, на основании письменного требования оператора, предоставляющего соответствующие услуги.</w:t>
            </w:r>
          </w:p>
        </w:tc>
        <w:tc>
          <w:tcPr>
            <w:tcW w:w="115" w:type="dxa"/>
            <w:gridSpan w:val="2"/>
          </w:tcPr>
          <w:p w:rsidR="008A7CE8" w:rsidRDefault="008A7CE8"/>
        </w:tc>
      </w:tr>
      <w:tr w:rsidR="008A7CE8" w:rsidTr="002C43E7">
        <w:trPr>
          <w:trHeight w:val="1290"/>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1290"/>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43"/>
        </w:trPr>
        <w:tc>
          <w:tcPr>
            <w:tcW w:w="114" w:type="dxa"/>
          </w:tcPr>
          <w:p w:rsidR="008A7CE8" w:rsidRDefault="008A7CE8"/>
        </w:tc>
        <w:tc>
          <w:tcPr>
            <w:tcW w:w="10488" w:type="dxa"/>
            <w:gridSpan w:val="9"/>
            <w:vMerge w:val="restart"/>
            <w:shd w:val="clear" w:color="auto" w:fill="FFFFFF"/>
          </w:tcPr>
          <w:p w:rsidR="008A7CE8" w:rsidRDefault="001D1FC9">
            <w:pPr>
              <w:spacing w:line="232" w:lineRule="auto"/>
              <w:rPr>
                <w:rFonts w:ascii="Calibri" w:eastAsia="Calibri" w:hAnsi="Calibri" w:cs="Calibri"/>
                <w:b/>
                <w:color w:val="000000"/>
                <w:spacing w:val="-2"/>
                <w:sz w:val="20"/>
              </w:rPr>
            </w:pPr>
            <w:r>
              <w:rPr>
                <w:rFonts w:ascii="Calibri" w:eastAsia="Calibri" w:hAnsi="Calibri" w:cs="Calibri"/>
                <w:b/>
                <w:color w:val="000000"/>
                <w:spacing w:val="-2"/>
                <w:sz w:val="20"/>
              </w:rPr>
              <w:t>8. Права и обязанности Абонента</w:t>
            </w:r>
          </w:p>
        </w:tc>
        <w:tc>
          <w:tcPr>
            <w:tcW w:w="115" w:type="dxa"/>
            <w:gridSpan w:val="2"/>
          </w:tcPr>
          <w:p w:rsidR="008A7CE8" w:rsidRDefault="008A7CE8"/>
        </w:tc>
      </w:tr>
      <w:tr w:rsidR="008A7CE8" w:rsidTr="002C43E7">
        <w:trPr>
          <w:trHeight w:val="114"/>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57"/>
        </w:trPr>
        <w:tc>
          <w:tcPr>
            <w:tcW w:w="114" w:type="dxa"/>
          </w:tcPr>
          <w:p w:rsidR="008A7CE8" w:rsidRDefault="008A7CE8"/>
        </w:tc>
        <w:tc>
          <w:tcPr>
            <w:tcW w:w="10488" w:type="dxa"/>
            <w:gridSpan w:val="9"/>
            <w:vMerge w:val="restart"/>
            <w:shd w:val="clear" w:color="auto" w:fill="FFFFFF"/>
          </w:tcPr>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8.1. Абонент вправе:</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а) предъявлять обоснованные письменные претензии относительно качества и объема Услуг, предоставленных в расчетном месяце, в установленные законом сроки;</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б) в письменном виде потребовать от Оператора соразмерного уменьшения абонентской платы в случае перерыва в предоставлении какой-либо конкретной (по виду или адресу предоставления) Услуги по вине Оператора на период времени более 4 (четырех) часов подряд, если такой перерыв не был согласован с Абонентом;</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lastRenderedPageBreak/>
              <w:t xml:space="preserve">     в) в течение 30 (тридцати) дней с момента подключения Услуги, в случае ее неудовлетворительного качества, отказаться от Услуг, получив обратно единовременную плату за подключение после оплаты фактически полученных Услуг за весь период пользования;</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8.2. Абонент обязан: </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а) Предоставить Оператору необходимые и достоверные сведения о себе в объеме, предусмотренном Договором, и подтвердить их документально. В случае изменения указанных сведений Абонент обязан в течение 3 (трех) рабочих дней после таких изменений предоставить Оператору новые документально подтвержденные данные;</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б) Пользоваться Услугами в соответствии с действующими тарифными планами и условиями настоящего Договора. Не использовать Услуги в противоправных целях, а равно не совершать действий, наносящих вред Оператору и/или третьим лицам.</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в) своевременно и в полном объеме оплачивать Услуги, а также заказанные дополнительные услуги, в соответствии с условиями настоящего Договора;</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г) обеспечивать доступ персонала Оператора к месту размещения оборудования Оператора для проведения установочных и эксплуатационных работ в согласованное Сторонами время;</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д) принимать необходимые и разумные меры, направленные на обеспечение сохранности оборудования Оператора, обеспечить соблюдение технических условий ее размещения и эксплуатации, изложенных в Приложении №2 к настоящему договору  Договора, незамедлительно устранять их нарушения в соответствии с требованиями Оператора;</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е) использовать оборудование Оператора исключительно в соответствии с его назначением для получения Услуг;</w:t>
            </w:r>
          </w:p>
          <w:p w:rsidR="008A7CE8" w:rsidRDefault="001D1FC9">
            <w:pPr>
              <w:spacing w:line="232" w:lineRule="auto"/>
              <w:rPr>
                <w:rFonts w:ascii="Calibri" w:eastAsia="Calibri" w:hAnsi="Calibri" w:cs="Calibri"/>
                <w:color w:val="000000"/>
                <w:spacing w:val="-2"/>
                <w:sz w:val="20"/>
              </w:rPr>
            </w:pPr>
            <w:proofErr w:type="gramStart"/>
            <w:r>
              <w:rPr>
                <w:rFonts w:ascii="Calibri" w:eastAsia="Calibri" w:hAnsi="Calibri" w:cs="Calibri"/>
                <w:color w:val="000000"/>
                <w:spacing w:val="-2"/>
                <w:sz w:val="20"/>
              </w:rPr>
              <w:t>ж) воздерживаться от вмешательства в работу оборудования Оператора с целью изменения его настроек или программного обеспечения Оператора, пространственной ориентации оборудования Оператора, исключать грубые механические воздействия, попытки перепрограммирования, подключение дополнительных устройств, изменение параметров сети электропитания и тому подобные действия или иные действия, которые могут повлечь за собой сбои в работе оборудования Оператора.</w:t>
            </w:r>
            <w:proofErr w:type="gramEnd"/>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з) не уступать и не передавать иным образом свои права и обязанности по Договору, в том числе не предоставлять доступ к Услугам третьим лицам;</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и) письменно уведомить Оператора о прекращении прав на помещение, в котором размещено принадлежащее Оператору оборудование, не позднее, чем за 15 (пятнадцать) календарных дней до дня прекращении прав;</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к) уведомлять Оператора об изменении любых сведений, указанных Абонентом в регистрационной форме (Приложение №1 к настоящему Договору), в течение 3 (трех) рабочих дней с момента такого изменения;</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л) обеспечить доступ представителям Оператора к размещенному у Абонента оборудованию Оператора с целью ее технического обслуживания и осуществления </w:t>
            </w:r>
            <w:proofErr w:type="gramStart"/>
            <w:r>
              <w:rPr>
                <w:rFonts w:ascii="Calibri" w:eastAsia="Calibri" w:hAnsi="Calibri" w:cs="Calibri"/>
                <w:color w:val="000000"/>
                <w:spacing w:val="-2"/>
                <w:sz w:val="20"/>
              </w:rPr>
              <w:t>контроля за</w:t>
            </w:r>
            <w:proofErr w:type="gramEnd"/>
            <w:r>
              <w:rPr>
                <w:rFonts w:ascii="Calibri" w:eastAsia="Calibri" w:hAnsi="Calibri" w:cs="Calibri"/>
                <w:color w:val="000000"/>
                <w:spacing w:val="-2"/>
                <w:sz w:val="20"/>
              </w:rPr>
              <w:t xml:space="preserve"> соблюдением Абонентом технических условий ее размещения и эксплуатации в течение рабочего дня;</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м) при использовании </w:t>
            </w:r>
            <w:proofErr w:type="spellStart"/>
            <w:r>
              <w:rPr>
                <w:rFonts w:ascii="Calibri" w:eastAsia="Calibri" w:hAnsi="Calibri" w:cs="Calibri"/>
                <w:color w:val="000000"/>
                <w:spacing w:val="-2"/>
                <w:sz w:val="20"/>
              </w:rPr>
              <w:t>телематических</w:t>
            </w:r>
            <w:proofErr w:type="spellEnd"/>
            <w:r>
              <w:rPr>
                <w:rFonts w:ascii="Calibri" w:eastAsia="Calibri" w:hAnsi="Calibri" w:cs="Calibri"/>
                <w:color w:val="000000"/>
                <w:spacing w:val="-2"/>
                <w:sz w:val="20"/>
              </w:rPr>
              <w:t xml:space="preserve"> услуг в сети «Интернет» (далее – Сеть) соблюдать общепринятые нормы работы, а также правила использования ресурсов Сети, установленные их владельцами или администраторами;</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н) предоставлять Оператору ежеквартально, не позднее 15 (пятнадцатого) числа месяца, следующего за окончанием квартала, список лиц, использующих его пользовательское (оконечное) оборудование, по форме, приведенной в Приложении № 3 к настоящему Договору. Указанный список должен быть заверен (подписан) уполномоченным представителем Абонента.</w:t>
            </w:r>
          </w:p>
        </w:tc>
        <w:tc>
          <w:tcPr>
            <w:tcW w:w="115" w:type="dxa"/>
            <w:gridSpan w:val="2"/>
          </w:tcPr>
          <w:p w:rsidR="008A7CE8" w:rsidRDefault="008A7CE8"/>
        </w:tc>
      </w:tr>
      <w:tr w:rsidR="008A7CE8" w:rsidTr="002C43E7">
        <w:trPr>
          <w:trHeight w:val="1433"/>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1433"/>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1433"/>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1433"/>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1203"/>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1189"/>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58"/>
        </w:trPr>
        <w:tc>
          <w:tcPr>
            <w:tcW w:w="114" w:type="dxa"/>
          </w:tcPr>
          <w:p w:rsidR="008A7CE8" w:rsidRDefault="008A7CE8"/>
        </w:tc>
        <w:tc>
          <w:tcPr>
            <w:tcW w:w="10488" w:type="dxa"/>
            <w:gridSpan w:val="9"/>
            <w:vMerge w:val="restart"/>
            <w:shd w:val="clear" w:color="auto" w:fill="FFFFFF"/>
          </w:tcPr>
          <w:p w:rsidR="008A7CE8" w:rsidRDefault="001D1FC9">
            <w:pPr>
              <w:spacing w:line="232" w:lineRule="auto"/>
              <w:rPr>
                <w:rFonts w:ascii="Calibri" w:eastAsia="Calibri" w:hAnsi="Calibri" w:cs="Calibri"/>
                <w:b/>
                <w:color w:val="000000"/>
                <w:spacing w:val="-2"/>
                <w:sz w:val="20"/>
              </w:rPr>
            </w:pPr>
            <w:r>
              <w:rPr>
                <w:rFonts w:ascii="Calibri" w:eastAsia="Calibri" w:hAnsi="Calibri" w:cs="Calibri"/>
                <w:b/>
                <w:color w:val="000000"/>
                <w:spacing w:val="-2"/>
                <w:sz w:val="20"/>
              </w:rPr>
              <w:t>9. Ответственность Сторон и ее ограничение</w:t>
            </w:r>
          </w:p>
        </w:tc>
        <w:tc>
          <w:tcPr>
            <w:tcW w:w="115" w:type="dxa"/>
            <w:gridSpan w:val="2"/>
          </w:tcPr>
          <w:p w:rsidR="008A7CE8" w:rsidRDefault="008A7CE8"/>
        </w:tc>
      </w:tr>
      <w:tr w:rsidR="008A7CE8" w:rsidTr="002C43E7">
        <w:trPr>
          <w:trHeight w:val="114"/>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58"/>
        </w:trPr>
        <w:tc>
          <w:tcPr>
            <w:tcW w:w="114" w:type="dxa"/>
          </w:tcPr>
          <w:p w:rsidR="008A7CE8" w:rsidRDefault="008A7CE8"/>
        </w:tc>
        <w:tc>
          <w:tcPr>
            <w:tcW w:w="10488" w:type="dxa"/>
            <w:gridSpan w:val="9"/>
            <w:shd w:val="clear" w:color="auto" w:fill="FFFFFF"/>
          </w:tcPr>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9.1. Стороны несут ответственность за неисполнение или ненадлежащее исполнение возникших из Договора обязательств в соответствии с действующим законодательством РФ.</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9.2. Ответственность Оператора вследствие существенного нарушения связи, включая временное снижение качества связи и/или отказ оборудования сети Оператора, наступает при наличии вины Оператора и не может превышать сумму, равную стоимости оказанных Абоненту в соответствующем расчетном месяце Услуг, пропорционально времени фактического </w:t>
            </w:r>
            <w:proofErr w:type="spellStart"/>
            <w:r>
              <w:rPr>
                <w:rFonts w:ascii="Calibri" w:eastAsia="Calibri" w:hAnsi="Calibri" w:cs="Calibri"/>
                <w:color w:val="000000"/>
                <w:spacing w:val="-2"/>
                <w:sz w:val="20"/>
              </w:rPr>
              <w:t>непредоставления</w:t>
            </w:r>
            <w:proofErr w:type="spellEnd"/>
            <w:r>
              <w:rPr>
                <w:rFonts w:ascii="Calibri" w:eastAsia="Calibri" w:hAnsi="Calibri" w:cs="Calibri"/>
                <w:color w:val="000000"/>
                <w:spacing w:val="-2"/>
                <w:sz w:val="20"/>
              </w:rPr>
              <w:t xml:space="preserve"> Услуг.</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9.3.  Оператор не несет ответственности за убытки и иные последствия, наступившие вследствие ненадлежащего использования Абонентом размещенного у него оборудования Оператора, несоблюдения Абонентом технических условий его размещения и эксплуатации,  а также несоблюдения Абонентом условий п. 8.2 настоящего Договора.</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9.5. Оператор не контролирует доступный через сеть «Интернет» информационный поток и, помимо прочего, не отвечает за любые потери и убытки, связанные с деятельностью Абонента в сети «Интернет», не гарантирует, что содержимое компьютера Абонента не будет являться объектом несанкционированного доступа со стороны третьих лиц.</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9.6. Оператор не несет ответственности в случае сбоев программного обеспечения и оконечного оборудования Абонента или любых третьих лиц, если только последнее не находится под прямым управлением Оператора.</w:t>
            </w:r>
          </w:p>
        </w:tc>
        <w:tc>
          <w:tcPr>
            <w:tcW w:w="115" w:type="dxa"/>
            <w:gridSpan w:val="2"/>
          </w:tcPr>
          <w:p w:rsidR="008A7CE8" w:rsidRDefault="008A7CE8"/>
        </w:tc>
      </w:tr>
      <w:tr w:rsidR="008A7CE8" w:rsidTr="002C43E7">
        <w:trPr>
          <w:trHeight w:val="1017"/>
        </w:trPr>
        <w:tc>
          <w:tcPr>
            <w:tcW w:w="114" w:type="dxa"/>
          </w:tcPr>
          <w:p w:rsidR="008A7CE8" w:rsidRDefault="008A7CE8"/>
        </w:tc>
        <w:tc>
          <w:tcPr>
            <w:tcW w:w="10488" w:type="dxa"/>
            <w:gridSpan w:val="9"/>
            <w:vMerge w:val="restart"/>
            <w:shd w:val="clear" w:color="auto" w:fill="FFFFFF"/>
          </w:tcPr>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9.7. Поскольку «Интернет» является добровольным объединением различных сетей, Оператор не несет ответственности за нормальное функционирование и доступность отдельных сегментов сети «Интернет». Оператор не гарантирует возможность информационного обмена с теми узлами или серверами, которые временно или постоянно недоступны через сеть «Интернет».</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9.8. При невозврате по вине Абонента оборудования Оператора в срок, определенный п.6.3 Договора, Абонент уплачивает Оператору штраф в размере 500 (Пятьсот) рублей за каждый день просрочки, но не более 100% первоначальной стоимости оборудования Оператора.</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9.9. </w:t>
            </w:r>
            <w:proofErr w:type="gramStart"/>
            <w:r>
              <w:rPr>
                <w:rFonts w:ascii="Calibri" w:eastAsia="Calibri" w:hAnsi="Calibri" w:cs="Calibri"/>
                <w:color w:val="000000"/>
                <w:spacing w:val="-2"/>
                <w:sz w:val="20"/>
              </w:rPr>
              <w:t>В случае нарушения Абонентом сроков оплаты оказанных услуг связи, Оператор вправе в судебном порядке взыскать с Абонента в соответствии с Правилами оказания услуг связи, утвержденными Правительством РФ, неустойку размере 1 (один) процента стоимости неоплаченных, оплаченных в неполном объеме или несвоевременно оплаченных Услуг, за каждый день просрочки вплоть до дня погашения задолженности, но не более суммы, подлежащей оплате.</w:t>
            </w:r>
            <w:proofErr w:type="gramEnd"/>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9.10. Оплата штрафных санкций не освобождает Стороны от выполнения своих обязательств по настоящему Договору.</w:t>
            </w:r>
          </w:p>
        </w:tc>
        <w:tc>
          <w:tcPr>
            <w:tcW w:w="115" w:type="dxa"/>
            <w:gridSpan w:val="2"/>
          </w:tcPr>
          <w:p w:rsidR="008A7CE8" w:rsidRDefault="008A7CE8"/>
        </w:tc>
      </w:tr>
      <w:tr w:rsidR="008A7CE8" w:rsidTr="002C43E7">
        <w:trPr>
          <w:trHeight w:val="1017"/>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240"/>
        </w:trPr>
        <w:tc>
          <w:tcPr>
            <w:tcW w:w="114" w:type="dxa"/>
          </w:tcPr>
          <w:p w:rsidR="008A7CE8" w:rsidRDefault="008A7CE8"/>
        </w:tc>
        <w:tc>
          <w:tcPr>
            <w:tcW w:w="10488" w:type="dxa"/>
            <w:gridSpan w:val="9"/>
            <w:vMerge w:val="restart"/>
            <w:shd w:val="clear" w:color="auto" w:fill="FFFFFF"/>
          </w:tcPr>
          <w:p w:rsidR="008A7CE8" w:rsidRDefault="001D1FC9">
            <w:pPr>
              <w:spacing w:line="232" w:lineRule="auto"/>
              <w:rPr>
                <w:rFonts w:ascii="Calibri" w:eastAsia="Calibri" w:hAnsi="Calibri" w:cs="Calibri"/>
                <w:b/>
                <w:color w:val="000000"/>
                <w:spacing w:val="-2"/>
                <w:sz w:val="20"/>
              </w:rPr>
            </w:pPr>
            <w:r>
              <w:rPr>
                <w:rFonts w:ascii="Calibri" w:eastAsia="Calibri" w:hAnsi="Calibri" w:cs="Calibri"/>
                <w:b/>
                <w:color w:val="000000"/>
                <w:spacing w:val="-2"/>
                <w:sz w:val="20"/>
              </w:rPr>
              <w:t>10. Конфиденциальность</w:t>
            </w:r>
          </w:p>
        </w:tc>
        <w:tc>
          <w:tcPr>
            <w:tcW w:w="115" w:type="dxa"/>
            <w:gridSpan w:val="2"/>
          </w:tcPr>
          <w:p w:rsidR="008A7CE8" w:rsidRDefault="008A7CE8"/>
        </w:tc>
      </w:tr>
      <w:tr w:rsidR="008A7CE8" w:rsidTr="002C43E7">
        <w:trPr>
          <w:trHeight w:val="57"/>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43"/>
        </w:trPr>
        <w:tc>
          <w:tcPr>
            <w:tcW w:w="114" w:type="dxa"/>
          </w:tcPr>
          <w:p w:rsidR="008A7CE8" w:rsidRDefault="008A7CE8"/>
        </w:tc>
        <w:tc>
          <w:tcPr>
            <w:tcW w:w="10488" w:type="dxa"/>
            <w:gridSpan w:val="9"/>
            <w:vMerge w:val="restart"/>
            <w:shd w:val="clear" w:color="auto" w:fill="FFFFFF"/>
          </w:tcPr>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10.1. Оператор обеспечивает соблюдение конфиденциальности в отношении сведений, предоставляемых Абонентом. К таким сведениям относится информация, которая может быть персонально идентифицирована, и использование которой без согласия Абонента может нанести вред его имущественным интересам или нематериальным благам.</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10.2. Оператор не предоставляет сведения об Абоненте третьим лицам за исключением следующих случаев:</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а) по запросу уполномоченных органов в соответствии с законодательством РФ;</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б) сведений о лице, ответственном за распределение IP- адресов  (ФИО, адрес, телефон, e-</w:t>
            </w:r>
            <w:proofErr w:type="spellStart"/>
            <w:r>
              <w:rPr>
                <w:rFonts w:ascii="Calibri" w:eastAsia="Calibri" w:hAnsi="Calibri" w:cs="Calibri"/>
                <w:color w:val="000000"/>
                <w:spacing w:val="-2"/>
                <w:sz w:val="20"/>
              </w:rPr>
              <w:t>mail</w:t>
            </w:r>
            <w:proofErr w:type="spellEnd"/>
            <w:r>
              <w:rPr>
                <w:rFonts w:ascii="Calibri" w:eastAsia="Calibri" w:hAnsi="Calibri" w:cs="Calibri"/>
                <w:color w:val="000000"/>
                <w:spacing w:val="-2"/>
                <w:sz w:val="20"/>
              </w:rPr>
              <w:t xml:space="preserve"> – латинскими буквами) – в случае выделения Оператором Абоненту IP-адресов, в соответствии с договором между Оператором и Сетевым Координационным Центром (RIPE </w:t>
            </w:r>
            <w:proofErr w:type="spellStart"/>
            <w:r>
              <w:rPr>
                <w:rFonts w:ascii="Calibri" w:eastAsia="Calibri" w:hAnsi="Calibri" w:cs="Calibri"/>
                <w:color w:val="000000"/>
                <w:spacing w:val="-2"/>
                <w:sz w:val="20"/>
              </w:rPr>
              <w:t>NetworkCoordinationCentre</w:t>
            </w:r>
            <w:proofErr w:type="spellEnd"/>
            <w:r>
              <w:rPr>
                <w:rFonts w:ascii="Calibri" w:eastAsia="Calibri" w:hAnsi="Calibri" w:cs="Calibri"/>
                <w:color w:val="000000"/>
                <w:spacing w:val="-2"/>
                <w:sz w:val="20"/>
              </w:rPr>
              <w:t>);</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в) с согласия Абонента следующая информация о нем может быть включена в телефонные справочники:</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 фамилия, имя, отчество и выделенный абонентский номер (для Абонента-гражданина);</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 наименование (фирменное наименование), адрес установки оборудования Оператора, указанные Абонентом номера из числа выделенных этому Абоненту телефонных номеров (для юридического лица).</w:t>
            </w:r>
          </w:p>
          <w:p w:rsidR="008A7CE8" w:rsidRDefault="001D1FC9">
            <w:pPr>
              <w:spacing w:line="232" w:lineRule="auto"/>
              <w:rPr>
                <w:rFonts w:ascii="Calibri" w:eastAsia="Calibri" w:hAnsi="Calibri" w:cs="Calibri"/>
                <w:color w:val="000000"/>
                <w:spacing w:val="-2"/>
                <w:sz w:val="20"/>
              </w:rPr>
            </w:pPr>
            <w:proofErr w:type="gramStart"/>
            <w:r>
              <w:rPr>
                <w:rFonts w:ascii="Calibri" w:eastAsia="Calibri" w:hAnsi="Calibri" w:cs="Calibri"/>
                <w:color w:val="000000"/>
                <w:spacing w:val="-2"/>
                <w:sz w:val="20"/>
              </w:rPr>
              <w:t>г) в случае согласия Абонента на доступ к услугам связи, оказываемым другими операторами сети связи общего пользования (в том числе услугам внутризоновой, междугородной и международной телефонной связи) сведения об Абоненте, необходимые для оказания таких услуг и осуществления расчетов (в том числе содержащиеся в регистрационной форме – Приложение №1 к Договору), предоставляются Оператором  другим операторам сети связи общего пользования.</w:t>
            </w:r>
            <w:proofErr w:type="gramEnd"/>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10.3. Оператор вправе собирать, обобщать, систематизировать и публиковать сводную информацию, касающуюся практики использования Абонентами Услуг без персональной идентификации конкретных Абонентов.</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10.4. </w:t>
            </w:r>
            <w:proofErr w:type="gramStart"/>
            <w:r>
              <w:rPr>
                <w:rFonts w:ascii="Calibri" w:eastAsia="Calibri" w:hAnsi="Calibri" w:cs="Calibri"/>
                <w:color w:val="000000"/>
                <w:spacing w:val="-2"/>
                <w:sz w:val="20"/>
              </w:rPr>
              <w:t>При необходимости использования регистрационных данных Абонента (например, наименования компании) в случаях проведения рекламных мероприятий, публикации отчетов о деятельности, в маркетинговых, иных целях, Оператор обязан уведомить об этом Абонента не позднее, чем за 5 рабочих дней до начала такого использования, и не вправе осуществлять такое использование персональных данных Абонента, если им будет получено заявление Абонента о несогласии.</w:t>
            </w:r>
            <w:proofErr w:type="gramEnd"/>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10.5. Оператор не имеет права доступа к информации Абонента, передаваемой посредством предоставляемых Услуг, и ее использования. Ограничение доступа согласно п.7.6 настоящего Договора касается только адресации, т.е. обращения к конкретному сайту и не означает нарушение конфиденциальности информации Абонента.</w:t>
            </w:r>
          </w:p>
        </w:tc>
        <w:tc>
          <w:tcPr>
            <w:tcW w:w="115" w:type="dxa"/>
            <w:gridSpan w:val="2"/>
          </w:tcPr>
          <w:p w:rsidR="008A7CE8" w:rsidRDefault="008A7CE8"/>
        </w:tc>
      </w:tr>
      <w:tr w:rsidR="008A7CE8" w:rsidTr="002C43E7">
        <w:trPr>
          <w:trHeight w:val="1433"/>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1433"/>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1060"/>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1046"/>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57"/>
        </w:trPr>
        <w:tc>
          <w:tcPr>
            <w:tcW w:w="114" w:type="dxa"/>
          </w:tcPr>
          <w:p w:rsidR="008A7CE8" w:rsidRDefault="008A7CE8"/>
        </w:tc>
        <w:tc>
          <w:tcPr>
            <w:tcW w:w="10488" w:type="dxa"/>
            <w:gridSpan w:val="9"/>
            <w:vMerge w:val="restart"/>
            <w:shd w:val="clear" w:color="auto" w:fill="FFFFFF"/>
          </w:tcPr>
          <w:p w:rsidR="008A7CE8" w:rsidRDefault="001D1FC9">
            <w:pPr>
              <w:spacing w:line="232" w:lineRule="auto"/>
              <w:rPr>
                <w:rFonts w:ascii="Calibri" w:eastAsia="Calibri" w:hAnsi="Calibri" w:cs="Calibri"/>
                <w:b/>
                <w:color w:val="000000"/>
                <w:spacing w:val="-2"/>
                <w:sz w:val="20"/>
              </w:rPr>
            </w:pPr>
            <w:r>
              <w:rPr>
                <w:rFonts w:ascii="Calibri" w:eastAsia="Calibri" w:hAnsi="Calibri" w:cs="Calibri"/>
                <w:b/>
                <w:color w:val="000000"/>
                <w:spacing w:val="-2"/>
                <w:sz w:val="20"/>
              </w:rPr>
              <w:t>11. Порядок разрешения споров и разногласий</w:t>
            </w:r>
          </w:p>
        </w:tc>
        <w:tc>
          <w:tcPr>
            <w:tcW w:w="115" w:type="dxa"/>
            <w:gridSpan w:val="2"/>
          </w:tcPr>
          <w:p w:rsidR="008A7CE8" w:rsidRDefault="008A7CE8"/>
        </w:tc>
      </w:tr>
      <w:tr w:rsidR="008A7CE8" w:rsidTr="002C43E7">
        <w:trPr>
          <w:trHeight w:val="115"/>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57"/>
        </w:trPr>
        <w:tc>
          <w:tcPr>
            <w:tcW w:w="114" w:type="dxa"/>
          </w:tcPr>
          <w:p w:rsidR="008A7CE8" w:rsidRDefault="008A7CE8"/>
        </w:tc>
        <w:tc>
          <w:tcPr>
            <w:tcW w:w="10488" w:type="dxa"/>
            <w:gridSpan w:val="9"/>
            <w:vMerge w:val="restart"/>
            <w:shd w:val="clear" w:color="auto" w:fill="FFFFFF"/>
          </w:tcPr>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11.1. Все разногласия или споры, связанные с исполнением настоящего Договора, будут, по возможности, урегулироваться Сторонами путем переговоров.</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11.2. До обращения в арбитражный суд по вопросам, связанным с отказом в предоставлении Услуг, несвоевременным или ненадлежащим исполнением обязательств по Договору, Абонент в соответствии с Федеральным законом «О связи», обязан предъявить Оператору письменную претензию. К претензии прилагается копия договора (в случае заключения договора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а в случае предъявления претензии о возмещении ущерба - сведения о размере причиненного ущерба.</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11.3. Претензия рассматривается Оператором в срок не более 60-ти календарных дней  </w:t>
            </w:r>
            <w:proofErr w:type="gramStart"/>
            <w:r>
              <w:rPr>
                <w:rFonts w:ascii="Calibri" w:eastAsia="Calibri" w:hAnsi="Calibri" w:cs="Calibri"/>
                <w:color w:val="000000"/>
                <w:spacing w:val="-2"/>
                <w:sz w:val="20"/>
              </w:rPr>
              <w:t>с даты</w:t>
            </w:r>
            <w:proofErr w:type="gramEnd"/>
            <w:r>
              <w:rPr>
                <w:rFonts w:ascii="Calibri" w:eastAsia="Calibri" w:hAnsi="Calibri" w:cs="Calibri"/>
                <w:color w:val="000000"/>
                <w:spacing w:val="-2"/>
                <w:sz w:val="20"/>
              </w:rPr>
              <w:t xml:space="preserve"> ее регистрации. О результатах рассмотрения претензии Оператор информирует Абонента письменно (посредством использования почтовой или курьерской связи).</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11.4. </w:t>
            </w:r>
            <w:proofErr w:type="gramStart"/>
            <w:r>
              <w:rPr>
                <w:rFonts w:ascii="Calibri" w:eastAsia="Calibri" w:hAnsi="Calibri" w:cs="Calibri"/>
                <w:color w:val="000000"/>
                <w:spacing w:val="-2"/>
                <w:sz w:val="20"/>
              </w:rPr>
              <w:t>Если согласие по каким-либо причинам не будет достигнуто в ходе досудебного урегулирования (помимо переговоров обязательно включающего в себя в соответствии с Федеральным законом «О связи» предъявление Абонентом претензии и ее рассмотрение Оператором), в судебном порядке все споры между Оператором и Абонентом  рассматриваются в арбитражном суде по месту нахождения Оператора (соответствующего филиала Оператора, указанного в п. 7.8 настоящего Договора).</w:t>
            </w:r>
            <w:proofErr w:type="gramEnd"/>
          </w:p>
        </w:tc>
        <w:tc>
          <w:tcPr>
            <w:tcW w:w="115" w:type="dxa"/>
            <w:gridSpan w:val="2"/>
          </w:tcPr>
          <w:p w:rsidR="008A7CE8" w:rsidRDefault="008A7CE8"/>
        </w:tc>
      </w:tr>
      <w:tr w:rsidR="008A7CE8" w:rsidTr="002C43E7">
        <w:trPr>
          <w:trHeight w:val="1347"/>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1361"/>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57"/>
        </w:trPr>
        <w:tc>
          <w:tcPr>
            <w:tcW w:w="114" w:type="dxa"/>
          </w:tcPr>
          <w:p w:rsidR="008A7CE8" w:rsidRDefault="008A7CE8"/>
        </w:tc>
        <w:tc>
          <w:tcPr>
            <w:tcW w:w="10488" w:type="dxa"/>
            <w:gridSpan w:val="9"/>
            <w:vMerge w:val="restart"/>
            <w:shd w:val="clear" w:color="auto" w:fill="FFFFFF"/>
          </w:tcPr>
          <w:p w:rsidR="008A7CE8" w:rsidRDefault="001D1FC9">
            <w:pPr>
              <w:spacing w:line="232" w:lineRule="auto"/>
              <w:rPr>
                <w:rFonts w:ascii="Calibri" w:eastAsia="Calibri" w:hAnsi="Calibri" w:cs="Calibri"/>
                <w:b/>
                <w:color w:val="000000"/>
                <w:spacing w:val="-2"/>
                <w:sz w:val="20"/>
              </w:rPr>
            </w:pPr>
            <w:r>
              <w:rPr>
                <w:rFonts w:ascii="Calibri" w:eastAsia="Calibri" w:hAnsi="Calibri" w:cs="Calibri"/>
                <w:b/>
                <w:color w:val="000000"/>
                <w:spacing w:val="-2"/>
                <w:sz w:val="20"/>
              </w:rPr>
              <w:t>12. Переписка сторон</w:t>
            </w:r>
          </w:p>
        </w:tc>
        <w:tc>
          <w:tcPr>
            <w:tcW w:w="115" w:type="dxa"/>
            <w:gridSpan w:val="2"/>
          </w:tcPr>
          <w:p w:rsidR="008A7CE8" w:rsidRDefault="008A7CE8"/>
        </w:tc>
      </w:tr>
      <w:tr w:rsidR="008A7CE8" w:rsidTr="002C43E7">
        <w:trPr>
          <w:trHeight w:val="101"/>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57"/>
        </w:trPr>
        <w:tc>
          <w:tcPr>
            <w:tcW w:w="114" w:type="dxa"/>
          </w:tcPr>
          <w:p w:rsidR="008A7CE8" w:rsidRDefault="008A7CE8"/>
        </w:tc>
        <w:tc>
          <w:tcPr>
            <w:tcW w:w="10488" w:type="dxa"/>
            <w:gridSpan w:val="9"/>
            <w:shd w:val="clear" w:color="auto" w:fill="FFFFFF"/>
          </w:tcPr>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12.1. Абонент должен письменно (посредством использования почтовой или курьерской связи, факсимильной почты, если иное не указано в настоящем пункте) уведомить Оператора:</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а) о любых обнаруженных им ошибках в расчетах, счетах или платежных документах на Услуги – в срок не позднее одного рабочего дня с момента обнаружения; </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б) о перерыве в предоставлении Услуги (посредством телефонного звонка с изложением сути проблемы в службу поддержки Оператора) – незамедлительно с момента обнаружения отсутствия Услуг;</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в) о наличии претензий относительно качества и объема Услуг, предоставленных в расчетном месяце - в срок, установленный законом;</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г) о прекращении прав на помещение, в котором размещено принадлежащее Оператору оборудование – не позднее, чем за пятнадцать календарных дней до момента прекращения прав;</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д) об изменении сведений, указываемых Абонентом в регистрационной форме при заключении настоящего Договора – не позднее, чем через три рабочих дня с момента их фактического изменения;</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е) о хищении, неисправности, повреждении, гибели или причинении иного ущерба оборудованию Оператора – в день обнаружения.</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12.2. Оператор должен уведомить Абонента:</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а) об изменении тарифов на Услуги, условий и сроков оплаты - не позднее, чем за 10 (десять) календарных дней до момента введения изменений в действие;</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б) о плановом перерыве в предоставлении Услуг - не позднее, чем за одни сутки до перерыва;</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в) об основаниях приостановления предоставления Услуг Абоненту – в срок 5 (пять) календарных дней до соответствующего приостановления;</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lastRenderedPageBreak/>
              <w:t xml:space="preserve">     д) о намерении использовать персональные данные Абонента в маркетинговых или иных целях – не позднее, чем за 5 (пять) рабочих дней до начала использования.</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12.3. Все уведомления и иные сообщения, подлежащие передаче от Оператора  Абоненту и от Абонента Оператору, если настоящим Договором не предусмотрено иное, могут направляться Сторонами почтовой или курьерской связью, факсимильной или электронной почтой, либо передаваться Абоненту непосредственно в офисе Оператора.</w:t>
            </w:r>
          </w:p>
        </w:tc>
        <w:tc>
          <w:tcPr>
            <w:tcW w:w="115" w:type="dxa"/>
            <w:gridSpan w:val="2"/>
          </w:tcPr>
          <w:p w:rsidR="008A7CE8" w:rsidRDefault="008A7CE8"/>
        </w:tc>
      </w:tr>
      <w:tr w:rsidR="008A7CE8" w:rsidTr="002C43E7">
        <w:trPr>
          <w:trHeight w:val="229"/>
        </w:trPr>
        <w:tc>
          <w:tcPr>
            <w:tcW w:w="114" w:type="dxa"/>
          </w:tcPr>
          <w:p w:rsidR="008A7CE8" w:rsidRDefault="008A7CE8"/>
        </w:tc>
        <w:tc>
          <w:tcPr>
            <w:tcW w:w="10488" w:type="dxa"/>
            <w:gridSpan w:val="9"/>
            <w:shd w:val="clear" w:color="auto" w:fill="FFFFFF"/>
          </w:tcPr>
          <w:p w:rsidR="008A7CE8" w:rsidRDefault="001D1FC9">
            <w:pPr>
              <w:spacing w:line="232" w:lineRule="auto"/>
              <w:rPr>
                <w:rFonts w:ascii="Calibri" w:eastAsia="Calibri" w:hAnsi="Calibri" w:cs="Calibri"/>
                <w:b/>
                <w:color w:val="000000"/>
                <w:spacing w:val="-2"/>
                <w:sz w:val="20"/>
              </w:rPr>
            </w:pPr>
            <w:r>
              <w:rPr>
                <w:rFonts w:ascii="Calibri" w:eastAsia="Calibri" w:hAnsi="Calibri" w:cs="Calibri"/>
                <w:b/>
                <w:color w:val="000000"/>
                <w:spacing w:val="-2"/>
                <w:sz w:val="20"/>
              </w:rPr>
              <w:t>13. Действие договора, порядок изменения и прекращения</w:t>
            </w:r>
          </w:p>
        </w:tc>
        <w:tc>
          <w:tcPr>
            <w:tcW w:w="115" w:type="dxa"/>
            <w:gridSpan w:val="2"/>
          </w:tcPr>
          <w:p w:rsidR="008A7CE8" w:rsidRDefault="008A7CE8"/>
        </w:tc>
      </w:tr>
      <w:tr w:rsidR="008A7CE8" w:rsidTr="002C43E7">
        <w:trPr>
          <w:trHeight w:val="1433"/>
        </w:trPr>
        <w:tc>
          <w:tcPr>
            <w:tcW w:w="114" w:type="dxa"/>
          </w:tcPr>
          <w:p w:rsidR="008A7CE8" w:rsidRDefault="008A7CE8"/>
        </w:tc>
        <w:tc>
          <w:tcPr>
            <w:tcW w:w="10488" w:type="dxa"/>
            <w:gridSpan w:val="9"/>
            <w:vMerge w:val="restart"/>
            <w:shd w:val="clear" w:color="auto" w:fill="FFFFFF"/>
          </w:tcPr>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13.1. Настоящий Договор составлен и подписан в двух идентичных экземплярах, имеющих равную юридическую силу, по одному для каждой из Сторон, и вступает в силу с момента его подписания Сторонами.</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13.2. Размещаемые в соответствии с настоящим Договором Заказы вступают в силу и становятся неотъемлемой частью настоящего Договора с момента их подписания Сторонами и внесения Абонентом единовременной платы за подключение Услуг, если единовременная плата за подключение Услуг предусмотрена выбранным тарифным планом, и, если иной срок не предусмотрен соответствующим Заказом. </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13.3. Срок действия настоящего Договора составляет один год с момента вступления в силу.</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13.4. Действие настоящего Договора автоматически продлевается каждый раз еще на один год, если ни одна из Сторон не заявит об обратном не позднее, чем за тридцать дней до окончания срока его действия. </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Прекращение настоящего Договора влечет автоматическое прекращение всех размещенных в соответствии с ним Заказов. </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13.5. Размещенные в рамках настоящего Договора Заказы действуют до момента прекращения настоящего Договора.</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Прекращение одного конкретного Заказа влечет автоматическое прекращение настоящего Договора только в случае отсутствия иных действующих Заказов, заключенных между Сторонами.</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13.6. Все изменения и дополнения к Договору и размещенным в соответствии с ним Заказам, в том числе при выборе иного тарифного плана, об изменении места оказания Услуг или переносе оборудования Оператора на другое место размещения, оформляются в письменной форме в двух подлинных экземплярах и подписываются Сторонами.</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13.7. Абонент вправе в одностороннем порядке расторгнуть Договор, а также любой из Заказов, если в нем не указано иное, произведя все расчеты с Оператором, путем письменного уведомления об этом Оператора. Такое уведомление должно быть получено Оператором не позднее, чем за 30 (тридцать) календарных дней до требуемой даты расторжения. Датой расторжения Договора/заказа является день, следующий после истечения указанного в настоящем пункте срока, если стороны не договорятся об иной дате расторжения Договора /заказа. </w:t>
            </w:r>
            <w:r>
              <w:rPr>
                <w:rFonts w:ascii="Calibri" w:eastAsia="Calibri" w:hAnsi="Calibri" w:cs="Calibri"/>
                <w:color w:val="000000"/>
                <w:spacing w:val="-2"/>
                <w:sz w:val="20"/>
              </w:rPr>
              <w:tab/>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13.8. Оператор вправе отказаться от исполнения Договора и/или размещенного в его рамках Заказа путем письменного уведомления Абонента и при этом освобождается от возмещения Абоненту вызванных этим убытков в случае: </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а) наступления обстоятельств непреодолимой силы, в том числе, </w:t>
            </w:r>
            <w:proofErr w:type="gramStart"/>
            <w:r>
              <w:rPr>
                <w:rFonts w:ascii="Calibri" w:eastAsia="Calibri" w:hAnsi="Calibri" w:cs="Calibri"/>
                <w:color w:val="000000"/>
                <w:spacing w:val="-2"/>
                <w:sz w:val="20"/>
              </w:rPr>
              <w:t>но</w:t>
            </w:r>
            <w:proofErr w:type="gramEnd"/>
            <w:r>
              <w:rPr>
                <w:rFonts w:ascii="Calibri" w:eastAsia="Calibri" w:hAnsi="Calibri" w:cs="Calibri"/>
                <w:color w:val="000000"/>
                <w:spacing w:val="-2"/>
                <w:sz w:val="20"/>
              </w:rPr>
              <w:t xml:space="preserve"> не ограничиваясь этим, если предоставление Услуг Абоненту создает угрозу безопасности и обороноспособности государства, здоровью и безопасности людей или стало невозможным ввиду каких-либо физических, топографических или иных естественных препятствий;</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б) Абонент не устранил нарушения, послужившие основанием для приостановления предоставления ему Услуг в течение 6 (шести) месяцев с момента получения уведомления согласно </w:t>
            </w:r>
            <w:proofErr w:type="spellStart"/>
            <w:r>
              <w:rPr>
                <w:rFonts w:ascii="Calibri" w:eastAsia="Calibri" w:hAnsi="Calibri" w:cs="Calibri"/>
                <w:color w:val="000000"/>
                <w:spacing w:val="-2"/>
                <w:sz w:val="20"/>
              </w:rPr>
              <w:t>пп</w:t>
            </w:r>
            <w:proofErr w:type="spellEnd"/>
            <w:r>
              <w:rPr>
                <w:rFonts w:ascii="Calibri" w:eastAsia="Calibri" w:hAnsi="Calibri" w:cs="Calibri"/>
                <w:color w:val="000000"/>
                <w:spacing w:val="-2"/>
                <w:sz w:val="20"/>
              </w:rPr>
              <w:t xml:space="preserve">. «в» п.12.2 Договора. </w:t>
            </w:r>
            <w:r>
              <w:rPr>
                <w:rFonts w:ascii="Calibri" w:eastAsia="Calibri" w:hAnsi="Calibri" w:cs="Calibri"/>
                <w:color w:val="000000"/>
                <w:spacing w:val="-2"/>
                <w:sz w:val="20"/>
              </w:rPr>
              <w:tab/>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     13.9. Абонент обязан вернуть Оператору размещенное у него оборудование Оператора в исправном состоянии в сроки в соответствии с п.4 Приложения № 2 к настоящему Договору, или возместить его стоимость. </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Конкретная дата проведения работ по демонтажу оборудования Оператора определяется по соглашению Сторон. О возврате оборудования Оператора стороны составляют Акт.</w:t>
            </w:r>
          </w:p>
        </w:tc>
        <w:tc>
          <w:tcPr>
            <w:tcW w:w="115" w:type="dxa"/>
            <w:gridSpan w:val="2"/>
          </w:tcPr>
          <w:p w:rsidR="008A7CE8" w:rsidRDefault="008A7CE8"/>
        </w:tc>
      </w:tr>
      <w:tr w:rsidR="008A7CE8" w:rsidTr="002C43E7">
        <w:trPr>
          <w:trHeight w:val="1433"/>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1433"/>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1003"/>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1017"/>
        </w:trPr>
        <w:tc>
          <w:tcPr>
            <w:tcW w:w="114" w:type="dxa"/>
          </w:tcPr>
          <w:p w:rsidR="008A7CE8" w:rsidRDefault="008A7CE8"/>
        </w:tc>
        <w:tc>
          <w:tcPr>
            <w:tcW w:w="10488" w:type="dxa"/>
            <w:gridSpan w:val="9"/>
            <w:vMerge/>
            <w:shd w:val="clear" w:color="auto" w:fill="FFFFFF"/>
          </w:tcPr>
          <w:p w:rsidR="008A7CE8" w:rsidRDefault="008A7CE8"/>
        </w:tc>
        <w:tc>
          <w:tcPr>
            <w:tcW w:w="115" w:type="dxa"/>
            <w:gridSpan w:val="2"/>
          </w:tcPr>
          <w:p w:rsidR="008A7CE8" w:rsidRDefault="008A7CE8"/>
        </w:tc>
      </w:tr>
      <w:tr w:rsidR="008A7CE8" w:rsidTr="002C43E7">
        <w:trPr>
          <w:trHeight w:val="215"/>
        </w:trPr>
        <w:tc>
          <w:tcPr>
            <w:tcW w:w="114" w:type="dxa"/>
          </w:tcPr>
          <w:p w:rsidR="008A7CE8" w:rsidRDefault="008A7CE8"/>
        </w:tc>
        <w:tc>
          <w:tcPr>
            <w:tcW w:w="10488" w:type="dxa"/>
            <w:gridSpan w:val="9"/>
            <w:shd w:val="clear" w:color="auto" w:fill="FFFFFF"/>
          </w:tcPr>
          <w:p w:rsidR="008A7CE8" w:rsidRDefault="001D1FC9">
            <w:pPr>
              <w:spacing w:line="232" w:lineRule="auto"/>
              <w:rPr>
                <w:rFonts w:ascii="Calibri" w:eastAsia="Calibri" w:hAnsi="Calibri" w:cs="Calibri"/>
                <w:b/>
                <w:color w:val="000000"/>
                <w:spacing w:val="-2"/>
                <w:sz w:val="20"/>
              </w:rPr>
            </w:pPr>
            <w:r>
              <w:rPr>
                <w:rFonts w:ascii="Calibri" w:eastAsia="Calibri" w:hAnsi="Calibri" w:cs="Calibri"/>
                <w:b/>
                <w:color w:val="000000"/>
                <w:spacing w:val="-2"/>
                <w:sz w:val="20"/>
              </w:rPr>
              <w:t>14. Приложения к настоящему договору:</w:t>
            </w:r>
          </w:p>
        </w:tc>
        <w:tc>
          <w:tcPr>
            <w:tcW w:w="115" w:type="dxa"/>
            <w:gridSpan w:val="2"/>
          </w:tcPr>
          <w:p w:rsidR="008A7CE8" w:rsidRDefault="008A7CE8"/>
        </w:tc>
      </w:tr>
      <w:tr w:rsidR="008A7CE8" w:rsidTr="002C43E7">
        <w:trPr>
          <w:trHeight w:val="788"/>
        </w:trPr>
        <w:tc>
          <w:tcPr>
            <w:tcW w:w="114" w:type="dxa"/>
          </w:tcPr>
          <w:p w:rsidR="008A7CE8" w:rsidRDefault="008A7CE8"/>
        </w:tc>
        <w:tc>
          <w:tcPr>
            <w:tcW w:w="10488" w:type="dxa"/>
            <w:gridSpan w:val="9"/>
            <w:shd w:val="clear" w:color="auto" w:fill="FFFFFF"/>
          </w:tcPr>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15.1. Приложение № 1 Регистрационная форма.</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15.2. Приложение № 2 Общие условия предоставления услуг.</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15.3. Список лиц, использующих пользовательское (оконечное) оборудование Абонента.</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15.4. Бланк заказа</w:t>
            </w:r>
          </w:p>
        </w:tc>
        <w:tc>
          <w:tcPr>
            <w:tcW w:w="115" w:type="dxa"/>
            <w:gridSpan w:val="2"/>
          </w:tcPr>
          <w:p w:rsidR="008A7CE8" w:rsidRDefault="008A7CE8"/>
        </w:tc>
      </w:tr>
      <w:tr w:rsidR="008A7CE8" w:rsidTr="002C43E7">
        <w:trPr>
          <w:trHeight w:val="229"/>
        </w:trPr>
        <w:tc>
          <w:tcPr>
            <w:tcW w:w="114" w:type="dxa"/>
            <w:tcBorders>
              <w:bottom w:val="single" w:sz="5" w:space="0" w:color="000000"/>
            </w:tcBorders>
          </w:tcPr>
          <w:p w:rsidR="008A7CE8" w:rsidRDefault="008A7CE8"/>
        </w:tc>
        <w:tc>
          <w:tcPr>
            <w:tcW w:w="10488" w:type="dxa"/>
            <w:gridSpan w:val="9"/>
            <w:shd w:val="clear" w:color="auto" w:fill="FFFFFF"/>
          </w:tcPr>
          <w:p w:rsidR="008A7CE8" w:rsidRDefault="001D1FC9">
            <w:pPr>
              <w:spacing w:line="232" w:lineRule="auto"/>
              <w:rPr>
                <w:rFonts w:ascii="Calibri" w:eastAsia="Calibri" w:hAnsi="Calibri" w:cs="Calibri"/>
                <w:b/>
                <w:color w:val="000000"/>
                <w:spacing w:val="-2"/>
                <w:sz w:val="20"/>
              </w:rPr>
            </w:pPr>
            <w:r>
              <w:rPr>
                <w:rFonts w:ascii="Calibri" w:eastAsia="Calibri" w:hAnsi="Calibri" w:cs="Calibri"/>
                <w:b/>
                <w:color w:val="000000"/>
                <w:spacing w:val="-2"/>
                <w:sz w:val="20"/>
              </w:rPr>
              <w:t>16. Адреса и реквизиты сторон:</w:t>
            </w:r>
          </w:p>
        </w:tc>
        <w:tc>
          <w:tcPr>
            <w:tcW w:w="115" w:type="dxa"/>
            <w:gridSpan w:val="2"/>
          </w:tcPr>
          <w:p w:rsidR="008A7CE8" w:rsidRDefault="008A7CE8"/>
        </w:tc>
      </w:tr>
      <w:tr w:rsidR="008A7CE8" w:rsidTr="002C43E7">
        <w:trPr>
          <w:trHeight w:val="229"/>
        </w:trPr>
        <w:tc>
          <w:tcPr>
            <w:tcW w:w="114" w:type="dxa"/>
            <w:tcBorders>
              <w:top w:val="single" w:sz="5" w:space="0" w:color="000000"/>
              <w:left w:val="single" w:sz="5" w:space="0" w:color="000000"/>
            </w:tcBorders>
          </w:tcPr>
          <w:p w:rsidR="008A7CE8" w:rsidRDefault="008A7CE8"/>
        </w:tc>
        <w:tc>
          <w:tcPr>
            <w:tcW w:w="902" w:type="dxa"/>
            <w:tcBorders>
              <w:top w:val="single" w:sz="5" w:space="0" w:color="000000"/>
            </w:tcBorders>
            <w:shd w:val="clear" w:color="auto" w:fill="FFFFFF"/>
          </w:tcPr>
          <w:p w:rsidR="008A7CE8" w:rsidRDefault="001D1FC9">
            <w:pPr>
              <w:spacing w:line="232" w:lineRule="auto"/>
              <w:rPr>
                <w:rFonts w:ascii="Calibri" w:eastAsia="Calibri" w:hAnsi="Calibri" w:cs="Calibri"/>
                <w:b/>
                <w:color w:val="000000"/>
                <w:spacing w:val="-2"/>
                <w:sz w:val="20"/>
              </w:rPr>
            </w:pPr>
            <w:r>
              <w:rPr>
                <w:rFonts w:ascii="Calibri" w:eastAsia="Calibri" w:hAnsi="Calibri" w:cs="Calibri"/>
                <w:b/>
                <w:color w:val="000000"/>
                <w:spacing w:val="-2"/>
                <w:sz w:val="20"/>
              </w:rPr>
              <w:t>Абонент:</w:t>
            </w:r>
          </w:p>
        </w:tc>
        <w:tc>
          <w:tcPr>
            <w:tcW w:w="4284" w:type="dxa"/>
            <w:gridSpan w:val="2"/>
            <w:tcBorders>
              <w:top w:val="single" w:sz="5" w:space="0" w:color="000000"/>
              <w:right w:val="single" w:sz="5" w:space="0" w:color="000000"/>
            </w:tcBorders>
          </w:tcPr>
          <w:p w:rsidR="008A7CE8" w:rsidRDefault="008A7CE8"/>
        </w:tc>
        <w:tc>
          <w:tcPr>
            <w:tcW w:w="115" w:type="dxa"/>
            <w:tcBorders>
              <w:top w:val="single" w:sz="5" w:space="0" w:color="000000"/>
              <w:left w:val="single" w:sz="5" w:space="0" w:color="000000"/>
            </w:tcBorders>
          </w:tcPr>
          <w:p w:rsidR="008A7CE8" w:rsidRDefault="008A7CE8"/>
        </w:tc>
        <w:tc>
          <w:tcPr>
            <w:tcW w:w="903" w:type="dxa"/>
            <w:tcBorders>
              <w:top w:val="single" w:sz="5" w:space="0" w:color="000000"/>
            </w:tcBorders>
            <w:shd w:val="clear" w:color="auto" w:fill="FFFFFF"/>
          </w:tcPr>
          <w:p w:rsidR="008A7CE8" w:rsidRDefault="001D1FC9">
            <w:pPr>
              <w:spacing w:line="232" w:lineRule="auto"/>
              <w:rPr>
                <w:rFonts w:ascii="Calibri" w:eastAsia="Calibri" w:hAnsi="Calibri" w:cs="Calibri"/>
                <w:b/>
                <w:color w:val="000000"/>
                <w:spacing w:val="-2"/>
                <w:sz w:val="20"/>
              </w:rPr>
            </w:pPr>
            <w:r>
              <w:rPr>
                <w:rFonts w:ascii="Calibri" w:eastAsia="Calibri" w:hAnsi="Calibri" w:cs="Calibri"/>
                <w:b/>
                <w:color w:val="000000"/>
                <w:spacing w:val="-2"/>
                <w:sz w:val="20"/>
              </w:rPr>
              <w:t>Оператор:</w:t>
            </w:r>
          </w:p>
        </w:tc>
        <w:tc>
          <w:tcPr>
            <w:tcW w:w="4313" w:type="dxa"/>
            <w:gridSpan w:val="5"/>
            <w:tcBorders>
              <w:top w:val="single" w:sz="5" w:space="0" w:color="000000"/>
              <w:right w:val="single" w:sz="5" w:space="0" w:color="000000"/>
            </w:tcBorders>
          </w:tcPr>
          <w:p w:rsidR="008A7CE8" w:rsidRDefault="008A7CE8"/>
        </w:tc>
        <w:tc>
          <w:tcPr>
            <w:tcW w:w="86" w:type="dxa"/>
            <w:tcBorders>
              <w:left w:val="single" w:sz="5" w:space="0" w:color="000000"/>
            </w:tcBorders>
          </w:tcPr>
          <w:p w:rsidR="008A7CE8" w:rsidRDefault="008A7CE8"/>
        </w:tc>
      </w:tr>
      <w:tr w:rsidR="008A7CE8" w:rsidTr="002C43E7">
        <w:trPr>
          <w:trHeight w:val="80"/>
        </w:trPr>
        <w:tc>
          <w:tcPr>
            <w:tcW w:w="5300" w:type="dxa"/>
            <w:gridSpan w:val="4"/>
            <w:tcBorders>
              <w:left w:val="single" w:sz="5" w:space="0" w:color="000000"/>
              <w:right w:val="single" w:sz="5" w:space="0" w:color="000000"/>
            </w:tcBorders>
          </w:tcPr>
          <w:p w:rsidR="008A7CE8" w:rsidRDefault="008A7CE8"/>
        </w:tc>
        <w:tc>
          <w:tcPr>
            <w:tcW w:w="5331" w:type="dxa"/>
            <w:gridSpan w:val="7"/>
            <w:tcBorders>
              <w:left w:val="single" w:sz="5" w:space="0" w:color="000000"/>
              <w:right w:val="single" w:sz="5" w:space="0" w:color="000000"/>
            </w:tcBorders>
          </w:tcPr>
          <w:p w:rsidR="008A7CE8" w:rsidRDefault="008A7CE8"/>
        </w:tc>
        <w:tc>
          <w:tcPr>
            <w:tcW w:w="86" w:type="dxa"/>
            <w:tcBorders>
              <w:left w:val="single" w:sz="5" w:space="0" w:color="000000"/>
            </w:tcBorders>
          </w:tcPr>
          <w:p w:rsidR="008A7CE8" w:rsidRDefault="008A7CE8"/>
        </w:tc>
      </w:tr>
      <w:tr w:rsidR="008A7CE8" w:rsidTr="002C43E7">
        <w:trPr>
          <w:trHeight w:val="1433"/>
        </w:trPr>
        <w:tc>
          <w:tcPr>
            <w:tcW w:w="114" w:type="dxa"/>
            <w:tcBorders>
              <w:left w:val="single" w:sz="5" w:space="0" w:color="000000"/>
            </w:tcBorders>
          </w:tcPr>
          <w:p w:rsidR="008A7CE8" w:rsidRDefault="008A7CE8"/>
        </w:tc>
        <w:tc>
          <w:tcPr>
            <w:tcW w:w="4957" w:type="dxa"/>
            <w:gridSpan w:val="2"/>
            <w:vMerge w:val="restart"/>
            <w:shd w:val="clear" w:color="auto" w:fill="FFFFFF"/>
          </w:tcPr>
          <w:p w:rsidR="008A7CE8" w:rsidRPr="003506D2" w:rsidRDefault="008A7CE8" w:rsidP="003506D2">
            <w:pPr>
              <w:spacing w:line="232" w:lineRule="auto"/>
              <w:rPr>
                <w:rFonts w:ascii="Calibri" w:eastAsia="Calibri" w:hAnsi="Calibri" w:cs="Calibri"/>
                <w:color w:val="000000"/>
                <w:spacing w:val="-2"/>
                <w:sz w:val="20"/>
              </w:rPr>
            </w:pPr>
          </w:p>
        </w:tc>
        <w:tc>
          <w:tcPr>
            <w:tcW w:w="229" w:type="dxa"/>
            <w:tcBorders>
              <w:right w:val="single" w:sz="5" w:space="0" w:color="000000"/>
            </w:tcBorders>
          </w:tcPr>
          <w:p w:rsidR="008A7CE8" w:rsidRDefault="008A7CE8"/>
        </w:tc>
        <w:tc>
          <w:tcPr>
            <w:tcW w:w="115" w:type="dxa"/>
            <w:tcBorders>
              <w:left w:val="single" w:sz="5" w:space="0" w:color="000000"/>
            </w:tcBorders>
          </w:tcPr>
          <w:p w:rsidR="008A7CE8" w:rsidRDefault="008A7CE8"/>
        </w:tc>
        <w:tc>
          <w:tcPr>
            <w:tcW w:w="4957" w:type="dxa"/>
            <w:gridSpan w:val="3"/>
            <w:vMerge w:val="restart"/>
            <w:shd w:val="clear" w:color="auto" w:fill="FFFFFF"/>
          </w:tcPr>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ООО "Директив"</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Адрес юридический:125319, г. Москва, ул. Аэропортовская 1-я,  д.6</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ИНН  7743658709  КПП  771401001</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Почтовый адрес: 127550, Москва, </w:t>
            </w:r>
            <w:proofErr w:type="gramStart"/>
            <w:r>
              <w:rPr>
                <w:rFonts w:ascii="Calibri" w:eastAsia="Calibri" w:hAnsi="Calibri" w:cs="Calibri"/>
                <w:color w:val="000000"/>
                <w:spacing w:val="-2"/>
                <w:sz w:val="20"/>
              </w:rPr>
              <w:t>Дмитровское</w:t>
            </w:r>
            <w:proofErr w:type="gramEnd"/>
            <w:r>
              <w:rPr>
                <w:rFonts w:ascii="Calibri" w:eastAsia="Calibri" w:hAnsi="Calibri" w:cs="Calibri"/>
                <w:color w:val="000000"/>
                <w:spacing w:val="-2"/>
                <w:sz w:val="20"/>
              </w:rPr>
              <w:t xml:space="preserve"> ш., д.27, корп.1, офис.1932</w:t>
            </w:r>
          </w:p>
          <w:p w:rsidR="008A7CE8" w:rsidRDefault="001D1FC9">
            <w:pPr>
              <w:spacing w:line="232" w:lineRule="auto"/>
              <w:rPr>
                <w:rFonts w:ascii="Calibri" w:eastAsia="Calibri" w:hAnsi="Calibri" w:cs="Calibri"/>
                <w:color w:val="000000"/>
                <w:spacing w:val="-2"/>
                <w:sz w:val="20"/>
              </w:rPr>
            </w:pPr>
            <w:proofErr w:type="gramStart"/>
            <w:r>
              <w:rPr>
                <w:rFonts w:ascii="Calibri" w:eastAsia="Calibri" w:hAnsi="Calibri" w:cs="Calibri"/>
                <w:color w:val="000000"/>
                <w:spacing w:val="-2"/>
                <w:sz w:val="20"/>
              </w:rPr>
              <w:t>Р</w:t>
            </w:r>
            <w:proofErr w:type="gramEnd"/>
            <w:r>
              <w:rPr>
                <w:rFonts w:ascii="Calibri" w:eastAsia="Calibri" w:hAnsi="Calibri" w:cs="Calibri"/>
                <w:color w:val="000000"/>
                <w:spacing w:val="-2"/>
                <w:sz w:val="20"/>
              </w:rPr>
              <w:t>/с  407 028 103 000 000 062 97</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 xml:space="preserve">В банке  ОАО «Собинбанк», </w:t>
            </w:r>
            <w:proofErr w:type="spellStart"/>
            <w:r>
              <w:rPr>
                <w:rFonts w:ascii="Calibri" w:eastAsia="Calibri" w:hAnsi="Calibri" w:cs="Calibri"/>
                <w:color w:val="000000"/>
                <w:spacing w:val="-2"/>
                <w:sz w:val="20"/>
              </w:rPr>
              <w:t>г</w:t>
            </w:r>
            <w:proofErr w:type="gramStart"/>
            <w:r>
              <w:rPr>
                <w:rFonts w:ascii="Calibri" w:eastAsia="Calibri" w:hAnsi="Calibri" w:cs="Calibri"/>
                <w:color w:val="000000"/>
                <w:spacing w:val="-2"/>
                <w:sz w:val="20"/>
              </w:rPr>
              <w:t>.М</w:t>
            </w:r>
            <w:proofErr w:type="gramEnd"/>
            <w:r>
              <w:rPr>
                <w:rFonts w:ascii="Calibri" w:eastAsia="Calibri" w:hAnsi="Calibri" w:cs="Calibri"/>
                <w:color w:val="000000"/>
                <w:spacing w:val="-2"/>
                <w:sz w:val="20"/>
              </w:rPr>
              <w:t>осква</w:t>
            </w:r>
            <w:proofErr w:type="spellEnd"/>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К/с  301 018 104 000 000 004 87</w:t>
            </w:r>
          </w:p>
          <w:p w:rsidR="008A7CE8" w:rsidRDefault="001D1FC9">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БИК 044525487</w:t>
            </w:r>
          </w:p>
        </w:tc>
        <w:tc>
          <w:tcPr>
            <w:tcW w:w="259" w:type="dxa"/>
            <w:gridSpan w:val="3"/>
            <w:tcBorders>
              <w:right w:val="single" w:sz="5" w:space="0" w:color="000000"/>
            </w:tcBorders>
          </w:tcPr>
          <w:p w:rsidR="008A7CE8" w:rsidRDefault="008A7CE8"/>
        </w:tc>
        <w:tc>
          <w:tcPr>
            <w:tcW w:w="86" w:type="dxa"/>
            <w:tcBorders>
              <w:left w:val="single" w:sz="5" w:space="0" w:color="000000"/>
            </w:tcBorders>
          </w:tcPr>
          <w:p w:rsidR="008A7CE8" w:rsidRDefault="008A7CE8"/>
        </w:tc>
      </w:tr>
      <w:tr w:rsidR="008A7CE8" w:rsidTr="002C43E7">
        <w:trPr>
          <w:trHeight w:val="917"/>
        </w:trPr>
        <w:tc>
          <w:tcPr>
            <w:tcW w:w="114" w:type="dxa"/>
            <w:tcBorders>
              <w:left w:val="single" w:sz="5" w:space="0" w:color="000000"/>
            </w:tcBorders>
          </w:tcPr>
          <w:p w:rsidR="008A7CE8" w:rsidRDefault="008A7CE8"/>
        </w:tc>
        <w:tc>
          <w:tcPr>
            <w:tcW w:w="4957" w:type="dxa"/>
            <w:gridSpan w:val="2"/>
            <w:vMerge/>
            <w:shd w:val="clear" w:color="auto" w:fill="FFFFFF"/>
          </w:tcPr>
          <w:p w:rsidR="008A7CE8" w:rsidRDefault="008A7CE8"/>
        </w:tc>
        <w:tc>
          <w:tcPr>
            <w:tcW w:w="229" w:type="dxa"/>
            <w:tcBorders>
              <w:right w:val="single" w:sz="5" w:space="0" w:color="000000"/>
            </w:tcBorders>
          </w:tcPr>
          <w:p w:rsidR="008A7CE8" w:rsidRDefault="008A7CE8"/>
        </w:tc>
        <w:tc>
          <w:tcPr>
            <w:tcW w:w="115" w:type="dxa"/>
            <w:tcBorders>
              <w:left w:val="single" w:sz="5" w:space="0" w:color="000000"/>
            </w:tcBorders>
          </w:tcPr>
          <w:p w:rsidR="008A7CE8" w:rsidRDefault="008A7CE8"/>
        </w:tc>
        <w:tc>
          <w:tcPr>
            <w:tcW w:w="4957" w:type="dxa"/>
            <w:gridSpan w:val="3"/>
            <w:vMerge/>
            <w:shd w:val="clear" w:color="auto" w:fill="FFFFFF"/>
          </w:tcPr>
          <w:p w:rsidR="008A7CE8" w:rsidRDefault="008A7CE8"/>
        </w:tc>
        <w:tc>
          <w:tcPr>
            <w:tcW w:w="259" w:type="dxa"/>
            <w:gridSpan w:val="3"/>
            <w:tcBorders>
              <w:right w:val="single" w:sz="5" w:space="0" w:color="000000"/>
            </w:tcBorders>
          </w:tcPr>
          <w:p w:rsidR="008A7CE8" w:rsidRDefault="008A7CE8"/>
        </w:tc>
        <w:tc>
          <w:tcPr>
            <w:tcW w:w="86" w:type="dxa"/>
            <w:tcBorders>
              <w:left w:val="single" w:sz="5" w:space="0" w:color="000000"/>
            </w:tcBorders>
          </w:tcPr>
          <w:p w:rsidR="008A7CE8" w:rsidRDefault="008A7CE8"/>
        </w:tc>
      </w:tr>
      <w:tr w:rsidR="008A7CE8" w:rsidTr="002C43E7">
        <w:trPr>
          <w:trHeight w:val="133"/>
        </w:trPr>
        <w:tc>
          <w:tcPr>
            <w:tcW w:w="114" w:type="dxa"/>
            <w:tcBorders>
              <w:left w:val="single" w:sz="5" w:space="0" w:color="000000"/>
            </w:tcBorders>
          </w:tcPr>
          <w:p w:rsidR="008A7CE8" w:rsidRDefault="008A7CE8"/>
        </w:tc>
        <w:tc>
          <w:tcPr>
            <w:tcW w:w="4957" w:type="dxa"/>
            <w:gridSpan w:val="2"/>
            <w:vMerge/>
            <w:shd w:val="clear" w:color="auto" w:fill="FFFFFF"/>
          </w:tcPr>
          <w:p w:rsidR="008A7CE8" w:rsidRDefault="008A7CE8"/>
        </w:tc>
        <w:tc>
          <w:tcPr>
            <w:tcW w:w="229" w:type="dxa"/>
            <w:tcBorders>
              <w:right w:val="single" w:sz="5" w:space="0" w:color="000000"/>
            </w:tcBorders>
          </w:tcPr>
          <w:p w:rsidR="008A7CE8" w:rsidRDefault="008A7CE8"/>
        </w:tc>
        <w:tc>
          <w:tcPr>
            <w:tcW w:w="115" w:type="dxa"/>
            <w:tcBorders>
              <w:left w:val="single" w:sz="5" w:space="0" w:color="000000"/>
            </w:tcBorders>
          </w:tcPr>
          <w:p w:rsidR="008A7CE8" w:rsidRDefault="008A7CE8"/>
        </w:tc>
        <w:tc>
          <w:tcPr>
            <w:tcW w:w="4957" w:type="dxa"/>
            <w:gridSpan w:val="3"/>
            <w:vMerge/>
            <w:shd w:val="clear" w:color="auto" w:fill="FFFFFF"/>
          </w:tcPr>
          <w:p w:rsidR="008A7CE8" w:rsidRDefault="008A7CE8"/>
        </w:tc>
        <w:tc>
          <w:tcPr>
            <w:tcW w:w="259" w:type="dxa"/>
            <w:gridSpan w:val="3"/>
            <w:tcBorders>
              <w:right w:val="single" w:sz="5" w:space="0" w:color="000000"/>
            </w:tcBorders>
          </w:tcPr>
          <w:p w:rsidR="008A7CE8" w:rsidRDefault="008A7CE8"/>
        </w:tc>
        <w:tc>
          <w:tcPr>
            <w:tcW w:w="86" w:type="dxa"/>
            <w:tcBorders>
              <w:left w:val="single" w:sz="5" w:space="0" w:color="000000"/>
            </w:tcBorders>
          </w:tcPr>
          <w:p w:rsidR="008A7CE8" w:rsidRDefault="008A7CE8"/>
        </w:tc>
      </w:tr>
      <w:tr w:rsidR="008A7CE8" w:rsidTr="002C43E7">
        <w:trPr>
          <w:trHeight w:val="80"/>
        </w:trPr>
        <w:tc>
          <w:tcPr>
            <w:tcW w:w="5300" w:type="dxa"/>
            <w:gridSpan w:val="4"/>
            <w:tcBorders>
              <w:left w:val="single" w:sz="5" w:space="0" w:color="000000"/>
              <w:bottom w:val="single" w:sz="5" w:space="0" w:color="000000"/>
              <w:right w:val="single" w:sz="5" w:space="0" w:color="000000"/>
            </w:tcBorders>
          </w:tcPr>
          <w:p w:rsidR="008A7CE8" w:rsidRDefault="008A7CE8"/>
        </w:tc>
        <w:tc>
          <w:tcPr>
            <w:tcW w:w="5331" w:type="dxa"/>
            <w:gridSpan w:val="7"/>
            <w:tcBorders>
              <w:left w:val="single" w:sz="5" w:space="0" w:color="000000"/>
              <w:bottom w:val="single" w:sz="5" w:space="0" w:color="000000"/>
              <w:right w:val="single" w:sz="5" w:space="0" w:color="000000"/>
            </w:tcBorders>
          </w:tcPr>
          <w:p w:rsidR="008A7CE8" w:rsidRDefault="008A7CE8"/>
        </w:tc>
        <w:tc>
          <w:tcPr>
            <w:tcW w:w="86" w:type="dxa"/>
            <w:tcBorders>
              <w:left w:val="single" w:sz="5" w:space="0" w:color="000000"/>
            </w:tcBorders>
          </w:tcPr>
          <w:p w:rsidR="008A7CE8" w:rsidRDefault="008A7CE8"/>
        </w:tc>
      </w:tr>
      <w:tr w:rsidR="008A7CE8" w:rsidTr="002C43E7">
        <w:trPr>
          <w:trHeight w:val="115"/>
        </w:trPr>
        <w:tc>
          <w:tcPr>
            <w:tcW w:w="10631" w:type="dxa"/>
            <w:gridSpan w:val="11"/>
            <w:tcBorders>
              <w:top w:val="single" w:sz="5" w:space="0" w:color="000000"/>
            </w:tcBorders>
          </w:tcPr>
          <w:p w:rsidR="008A7CE8" w:rsidRDefault="008A7CE8"/>
        </w:tc>
        <w:tc>
          <w:tcPr>
            <w:tcW w:w="86" w:type="dxa"/>
          </w:tcPr>
          <w:p w:rsidR="008A7CE8" w:rsidRDefault="008A7CE8"/>
        </w:tc>
      </w:tr>
      <w:tr w:rsidR="008A7CE8" w:rsidTr="002C43E7">
        <w:trPr>
          <w:trHeight w:val="223"/>
        </w:trPr>
        <w:tc>
          <w:tcPr>
            <w:tcW w:w="114" w:type="dxa"/>
          </w:tcPr>
          <w:p w:rsidR="008A7CE8" w:rsidRDefault="008A7CE8"/>
        </w:tc>
        <w:tc>
          <w:tcPr>
            <w:tcW w:w="5186" w:type="dxa"/>
            <w:gridSpan w:val="3"/>
            <w:shd w:val="clear" w:color="auto" w:fill="FFFFFF"/>
          </w:tcPr>
          <w:p w:rsidR="008A7CE8" w:rsidRDefault="001D1FC9">
            <w:pPr>
              <w:spacing w:line="232" w:lineRule="auto"/>
              <w:jc w:val="center"/>
              <w:rPr>
                <w:rFonts w:ascii="Calibri" w:eastAsia="Calibri" w:hAnsi="Calibri" w:cs="Calibri"/>
                <w:b/>
                <w:color w:val="000000"/>
                <w:spacing w:val="-2"/>
                <w:sz w:val="20"/>
              </w:rPr>
            </w:pPr>
            <w:r>
              <w:rPr>
                <w:rFonts w:ascii="Calibri" w:eastAsia="Calibri" w:hAnsi="Calibri" w:cs="Calibri"/>
                <w:b/>
                <w:color w:val="000000"/>
                <w:spacing w:val="-2"/>
                <w:sz w:val="20"/>
              </w:rPr>
              <w:t>представитель Абонента:</w:t>
            </w:r>
          </w:p>
        </w:tc>
        <w:tc>
          <w:tcPr>
            <w:tcW w:w="5331" w:type="dxa"/>
            <w:gridSpan w:val="7"/>
            <w:shd w:val="clear" w:color="auto" w:fill="FFFFFF"/>
          </w:tcPr>
          <w:p w:rsidR="008A7CE8" w:rsidRDefault="001D1FC9">
            <w:pPr>
              <w:spacing w:line="232" w:lineRule="auto"/>
              <w:jc w:val="center"/>
              <w:rPr>
                <w:rFonts w:ascii="Calibri" w:eastAsia="Calibri" w:hAnsi="Calibri" w:cs="Calibri"/>
                <w:b/>
                <w:color w:val="000000"/>
                <w:spacing w:val="-2"/>
                <w:sz w:val="20"/>
              </w:rPr>
            </w:pPr>
            <w:r>
              <w:rPr>
                <w:rFonts w:ascii="Calibri" w:eastAsia="Calibri" w:hAnsi="Calibri" w:cs="Calibri"/>
                <w:b/>
                <w:color w:val="000000"/>
                <w:spacing w:val="-2"/>
                <w:sz w:val="20"/>
              </w:rPr>
              <w:t>представитель Оператора:</w:t>
            </w:r>
          </w:p>
        </w:tc>
        <w:tc>
          <w:tcPr>
            <w:tcW w:w="86" w:type="dxa"/>
          </w:tcPr>
          <w:p w:rsidR="008A7CE8" w:rsidRDefault="008A7CE8"/>
        </w:tc>
      </w:tr>
      <w:tr w:rsidR="008A7CE8" w:rsidTr="003506D2">
        <w:trPr>
          <w:trHeight w:val="215"/>
        </w:trPr>
        <w:tc>
          <w:tcPr>
            <w:tcW w:w="10717" w:type="dxa"/>
            <w:gridSpan w:val="12"/>
          </w:tcPr>
          <w:p w:rsidR="003506D2" w:rsidRDefault="003506D2"/>
          <w:p w:rsidR="003506D2" w:rsidRPr="003506D2" w:rsidRDefault="003506D2" w:rsidP="003506D2"/>
          <w:p w:rsidR="003506D2" w:rsidRDefault="003506D2" w:rsidP="003506D2"/>
          <w:p w:rsidR="008A7CE8" w:rsidRPr="003506D2" w:rsidRDefault="008A7CE8" w:rsidP="003506D2"/>
        </w:tc>
      </w:tr>
      <w:tr w:rsidR="008A7CE8" w:rsidTr="002C43E7">
        <w:trPr>
          <w:trHeight w:val="1074"/>
        </w:trPr>
        <w:tc>
          <w:tcPr>
            <w:tcW w:w="114" w:type="dxa"/>
          </w:tcPr>
          <w:p w:rsidR="008A7CE8" w:rsidRDefault="008A7CE8"/>
        </w:tc>
        <w:tc>
          <w:tcPr>
            <w:tcW w:w="5186" w:type="dxa"/>
            <w:gridSpan w:val="3"/>
            <w:shd w:val="clear" w:color="auto" w:fill="FFFFFF"/>
          </w:tcPr>
          <w:p w:rsidR="008A7CE8" w:rsidRDefault="00393C4E">
            <w:pPr>
              <w:spacing w:line="232" w:lineRule="auto"/>
              <w:jc w:val="center"/>
              <w:rPr>
                <w:rFonts w:ascii="Calibri" w:eastAsia="Calibri" w:hAnsi="Calibri" w:cs="Calibri"/>
                <w:color w:val="000000"/>
                <w:spacing w:val="-2"/>
                <w:sz w:val="20"/>
              </w:rPr>
            </w:pPr>
            <w:r>
              <w:rPr>
                <w:rFonts w:ascii="Calibri" w:eastAsia="Calibri" w:hAnsi="Calibri" w:cs="Calibri"/>
                <w:color w:val="000000"/>
                <w:spacing w:val="-2"/>
                <w:sz w:val="20"/>
              </w:rPr>
              <w:t>«_____________________</w:t>
            </w:r>
            <w:r w:rsidR="001D1FC9">
              <w:rPr>
                <w:rFonts w:ascii="Calibri" w:eastAsia="Calibri" w:hAnsi="Calibri" w:cs="Calibri"/>
                <w:color w:val="000000"/>
                <w:spacing w:val="-2"/>
                <w:sz w:val="20"/>
              </w:rPr>
              <w:t>»</w:t>
            </w:r>
          </w:p>
          <w:p w:rsidR="008A7CE8" w:rsidRDefault="008A7CE8">
            <w:pPr>
              <w:spacing w:line="232" w:lineRule="auto"/>
              <w:jc w:val="center"/>
              <w:rPr>
                <w:rFonts w:ascii="Calibri" w:eastAsia="Calibri" w:hAnsi="Calibri" w:cs="Calibri"/>
                <w:color w:val="000000"/>
                <w:spacing w:val="-2"/>
                <w:sz w:val="20"/>
              </w:rPr>
            </w:pPr>
          </w:p>
          <w:p w:rsidR="008A7CE8" w:rsidRDefault="001D1FC9">
            <w:pPr>
              <w:spacing w:line="232" w:lineRule="auto"/>
              <w:jc w:val="center"/>
              <w:rPr>
                <w:rFonts w:ascii="Calibri" w:eastAsia="Calibri" w:hAnsi="Calibri" w:cs="Calibri"/>
                <w:color w:val="000000"/>
                <w:spacing w:val="-2"/>
                <w:sz w:val="20"/>
              </w:rPr>
            </w:pPr>
            <w:r>
              <w:rPr>
                <w:rFonts w:ascii="Calibri" w:eastAsia="Calibri" w:hAnsi="Calibri" w:cs="Calibri"/>
                <w:color w:val="000000"/>
                <w:spacing w:val="-2"/>
                <w:sz w:val="20"/>
              </w:rPr>
              <w:t>________________________________</w:t>
            </w:r>
          </w:p>
          <w:p w:rsidR="00393C4E" w:rsidRDefault="00393C4E">
            <w:pPr>
              <w:spacing w:line="232" w:lineRule="auto"/>
              <w:jc w:val="center"/>
              <w:rPr>
                <w:rFonts w:ascii="Calibri" w:eastAsia="Calibri" w:hAnsi="Calibri" w:cs="Calibri"/>
                <w:color w:val="000000"/>
                <w:spacing w:val="-2"/>
                <w:sz w:val="20"/>
              </w:rPr>
            </w:pPr>
          </w:p>
          <w:p w:rsidR="008A7CE8" w:rsidRDefault="00393C4E">
            <w:pPr>
              <w:spacing w:line="232" w:lineRule="auto"/>
              <w:jc w:val="center"/>
              <w:rPr>
                <w:rFonts w:ascii="Calibri" w:eastAsia="Calibri" w:hAnsi="Calibri" w:cs="Calibri"/>
                <w:color w:val="000000"/>
                <w:spacing w:val="-2"/>
                <w:sz w:val="20"/>
              </w:rPr>
            </w:pPr>
            <w:r>
              <w:rPr>
                <w:rFonts w:ascii="Calibri" w:eastAsia="Calibri" w:hAnsi="Calibri" w:cs="Calibri"/>
                <w:color w:val="000000"/>
                <w:spacing w:val="-2"/>
                <w:sz w:val="20"/>
              </w:rPr>
              <w:t xml:space="preserve"> </w:t>
            </w:r>
            <w:r w:rsidR="001D1FC9">
              <w:rPr>
                <w:rFonts w:ascii="Calibri" w:eastAsia="Calibri" w:hAnsi="Calibri" w:cs="Calibri"/>
                <w:color w:val="000000"/>
                <w:spacing w:val="-2"/>
                <w:sz w:val="20"/>
              </w:rPr>
              <w:t>«___» ___________ 2017 г</w:t>
            </w:r>
          </w:p>
        </w:tc>
        <w:tc>
          <w:tcPr>
            <w:tcW w:w="5187" w:type="dxa"/>
            <w:gridSpan w:val="5"/>
            <w:shd w:val="clear" w:color="auto" w:fill="FFFFFF"/>
          </w:tcPr>
          <w:p w:rsidR="008A7CE8" w:rsidRDefault="001D1FC9">
            <w:pPr>
              <w:spacing w:line="232" w:lineRule="auto"/>
              <w:jc w:val="center"/>
              <w:rPr>
                <w:rFonts w:ascii="Calibri" w:eastAsia="Calibri" w:hAnsi="Calibri" w:cs="Calibri"/>
                <w:color w:val="000000"/>
                <w:spacing w:val="-2"/>
                <w:sz w:val="20"/>
              </w:rPr>
            </w:pPr>
            <w:r>
              <w:rPr>
                <w:rFonts w:ascii="Calibri" w:eastAsia="Calibri" w:hAnsi="Calibri" w:cs="Calibri"/>
                <w:color w:val="000000"/>
                <w:spacing w:val="-2"/>
                <w:sz w:val="20"/>
              </w:rPr>
              <w:t>Генеральный директор ООО «Директив»</w:t>
            </w:r>
          </w:p>
          <w:p w:rsidR="008A7CE8" w:rsidRDefault="008A7CE8">
            <w:pPr>
              <w:spacing w:line="232" w:lineRule="auto"/>
              <w:jc w:val="center"/>
              <w:rPr>
                <w:rFonts w:ascii="Calibri" w:eastAsia="Calibri" w:hAnsi="Calibri" w:cs="Calibri"/>
                <w:color w:val="000000"/>
                <w:spacing w:val="-2"/>
                <w:sz w:val="20"/>
              </w:rPr>
            </w:pPr>
          </w:p>
          <w:p w:rsidR="00E65AE1" w:rsidRDefault="00E65AE1">
            <w:pPr>
              <w:spacing w:line="232" w:lineRule="auto"/>
              <w:jc w:val="center"/>
              <w:rPr>
                <w:rFonts w:ascii="Calibri" w:eastAsia="Calibri" w:hAnsi="Calibri" w:cs="Calibri"/>
                <w:color w:val="000000"/>
                <w:spacing w:val="-2"/>
                <w:sz w:val="20"/>
              </w:rPr>
            </w:pPr>
          </w:p>
          <w:p w:rsidR="008A7CE8" w:rsidRDefault="001D1FC9">
            <w:pPr>
              <w:spacing w:line="232" w:lineRule="auto"/>
              <w:jc w:val="center"/>
              <w:rPr>
                <w:rFonts w:ascii="Calibri" w:eastAsia="Calibri" w:hAnsi="Calibri" w:cs="Calibri"/>
                <w:color w:val="000000"/>
                <w:spacing w:val="-2"/>
                <w:sz w:val="20"/>
              </w:rPr>
            </w:pPr>
            <w:r>
              <w:rPr>
                <w:rFonts w:ascii="Calibri" w:eastAsia="Calibri" w:hAnsi="Calibri" w:cs="Calibri"/>
                <w:color w:val="000000"/>
                <w:spacing w:val="-2"/>
                <w:sz w:val="20"/>
              </w:rPr>
              <w:t>________________________________</w:t>
            </w:r>
          </w:p>
          <w:p w:rsidR="008A7CE8" w:rsidRDefault="001D1FC9">
            <w:pPr>
              <w:spacing w:line="232" w:lineRule="auto"/>
              <w:jc w:val="center"/>
              <w:rPr>
                <w:rFonts w:ascii="Calibri" w:eastAsia="Calibri" w:hAnsi="Calibri" w:cs="Calibri"/>
                <w:color w:val="000000"/>
                <w:spacing w:val="-2"/>
                <w:sz w:val="20"/>
              </w:rPr>
            </w:pPr>
            <w:r>
              <w:rPr>
                <w:rFonts w:ascii="Calibri" w:eastAsia="Calibri" w:hAnsi="Calibri" w:cs="Calibri"/>
                <w:color w:val="000000"/>
                <w:spacing w:val="-2"/>
                <w:sz w:val="20"/>
              </w:rPr>
              <w:t>Панов Н.В.</w:t>
            </w:r>
          </w:p>
          <w:p w:rsidR="008A7CE8" w:rsidRDefault="001D1FC9">
            <w:pPr>
              <w:spacing w:line="232" w:lineRule="auto"/>
              <w:jc w:val="center"/>
              <w:rPr>
                <w:rFonts w:ascii="Calibri" w:eastAsia="Calibri" w:hAnsi="Calibri" w:cs="Calibri"/>
                <w:color w:val="000000"/>
                <w:spacing w:val="-2"/>
                <w:sz w:val="20"/>
              </w:rPr>
            </w:pPr>
            <w:r>
              <w:rPr>
                <w:rFonts w:ascii="Calibri" w:eastAsia="Calibri" w:hAnsi="Calibri" w:cs="Calibri"/>
                <w:color w:val="000000"/>
                <w:spacing w:val="-2"/>
                <w:sz w:val="20"/>
              </w:rPr>
              <w:t>«___» ___________ 2017 г</w:t>
            </w:r>
          </w:p>
        </w:tc>
        <w:tc>
          <w:tcPr>
            <w:tcW w:w="230" w:type="dxa"/>
            <w:gridSpan w:val="3"/>
          </w:tcPr>
          <w:p w:rsidR="008A7CE8" w:rsidRDefault="008A7CE8"/>
        </w:tc>
      </w:tr>
    </w:tbl>
    <w:p w:rsidR="001D1FC9" w:rsidRDefault="001D1FC9"/>
    <w:sectPr w:rsidR="001D1FC9" w:rsidSect="003506D2">
      <w:headerReference w:type="default" r:id="rId7"/>
      <w:footerReference w:type="default" r:id="rId8"/>
      <w:pgSz w:w="11906" w:h="16838"/>
      <w:pgMar w:top="284" w:right="567" w:bottom="517" w:left="567" w:header="567" w:footer="5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6D5" w:rsidRDefault="00D866D5">
      <w:r>
        <w:separator/>
      </w:r>
    </w:p>
  </w:endnote>
  <w:endnote w:type="continuationSeparator" w:id="0">
    <w:p w:rsidR="00D866D5" w:rsidRDefault="00D8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Layout w:type="fixed"/>
      <w:tblCellMar>
        <w:left w:w="0" w:type="dxa"/>
        <w:right w:w="0" w:type="dxa"/>
      </w:tblCellMar>
      <w:tblLook w:val="04A0" w:firstRow="1" w:lastRow="0" w:firstColumn="1" w:lastColumn="0" w:noHBand="0" w:noVBand="1"/>
    </w:tblPr>
    <w:tblGrid>
      <w:gridCol w:w="115"/>
      <w:gridCol w:w="3940"/>
      <w:gridCol w:w="2608"/>
      <w:gridCol w:w="3940"/>
      <w:gridCol w:w="114"/>
    </w:tblGrid>
    <w:tr w:rsidR="003506D2">
      <w:trPr>
        <w:trHeight w:val="229"/>
      </w:trPr>
      <w:tc>
        <w:tcPr>
          <w:tcW w:w="115" w:type="dxa"/>
        </w:tcPr>
        <w:p w:rsidR="003506D2" w:rsidRDefault="003506D2"/>
      </w:tc>
      <w:tc>
        <w:tcPr>
          <w:tcW w:w="3940" w:type="dxa"/>
          <w:vMerge w:val="restart"/>
          <w:shd w:val="clear" w:color="auto" w:fill="FFFFFF"/>
        </w:tcPr>
        <w:p w:rsidR="003506D2" w:rsidRDefault="003506D2">
          <w:pPr>
            <w:spacing w:line="232" w:lineRule="auto"/>
            <w:rPr>
              <w:rFonts w:ascii="Calibri" w:eastAsia="Calibri" w:hAnsi="Calibri" w:cs="Calibri"/>
              <w:color w:val="000000"/>
              <w:spacing w:val="-2"/>
              <w:sz w:val="20"/>
            </w:rPr>
          </w:pPr>
          <w:r>
            <w:rPr>
              <w:rFonts w:ascii="Calibri" w:eastAsia="Calibri" w:hAnsi="Calibri" w:cs="Calibri"/>
              <w:color w:val="000000"/>
              <w:spacing w:val="-2"/>
              <w:sz w:val="20"/>
            </w:rPr>
            <w:t>От Абонента _______________________</w:t>
          </w:r>
        </w:p>
      </w:tc>
      <w:tc>
        <w:tcPr>
          <w:tcW w:w="2608" w:type="dxa"/>
        </w:tcPr>
        <w:p w:rsidR="003506D2" w:rsidRDefault="003506D2"/>
      </w:tc>
      <w:tc>
        <w:tcPr>
          <w:tcW w:w="3940" w:type="dxa"/>
          <w:shd w:val="clear" w:color="auto" w:fill="FFFFFF"/>
        </w:tcPr>
        <w:p w:rsidR="003506D2" w:rsidRDefault="003506D2">
          <w:pPr>
            <w:spacing w:line="232" w:lineRule="auto"/>
            <w:jc w:val="right"/>
            <w:rPr>
              <w:rFonts w:ascii="Calibri" w:eastAsia="Calibri" w:hAnsi="Calibri" w:cs="Calibri"/>
              <w:color w:val="000000"/>
              <w:spacing w:val="-2"/>
              <w:sz w:val="20"/>
            </w:rPr>
          </w:pPr>
          <w:r>
            <w:rPr>
              <w:rFonts w:ascii="Calibri" w:eastAsia="Calibri" w:hAnsi="Calibri" w:cs="Calibri"/>
              <w:color w:val="000000"/>
              <w:spacing w:val="-2"/>
              <w:sz w:val="20"/>
            </w:rPr>
            <w:t>От Оператора _______________________</w:t>
          </w:r>
        </w:p>
      </w:tc>
      <w:tc>
        <w:tcPr>
          <w:tcW w:w="114" w:type="dxa"/>
        </w:tcPr>
        <w:p w:rsidR="003506D2" w:rsidRDefault="003506D2"/>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6D5" w:rsidRDefault="00D866D5">
      <w:r>
        <w:separator/>
      </w:r>
    </w:p>
  </w:footnote>
  <w:footnote w:type="continuationSeparator" w:id="0">
    <w:p w:rsidR="00D866D5" w:rsidRDefault="00D86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D2" w:rsidRDefault="003506D2">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E8"/>
    <w:rsid w:val="00073D1D"/>
    <w:rsid w:val="000E5A5A"/>
    <w:rsid w:val="001D1FC9"/>
    <w:rsid w:val="002C43E7"/>
    <w:rsid w:val="003506D2"/>
    <w:rsid w:val="00393C4E"/>
    <w:rsid w:val="006812AE"/>
    <w:rsid w:val="00781BFE"/>
    <w:rsid w:val="007E7EEB"/>
    <w:rsid w:val="00813384"/>
    <w:rsid w:val="008A7CE8"/>
    <w:rsid w:val="00A51ECF"/>
    <w:rsid w:val="00B56A48"/>
    <w:rsid w:val="00C6434D"/>
    <w:rsid w:val="00D866D5"/>
    <w:rsid w:val="00DD0A72"/>
    <w:rsid w:val="00DE44E7"/>
    <w:rsid w:val="00E65AE1"/>
    <w:rsid w:val="00F32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CE8"/>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6D2"/>
    <w:rPr>
      <w:rFonts w:ascii="Tahoma" w:hAnsi="Tahoma" w:cs="Tahoma"/>
      <w:sz w:val="16"/>
      <w:szCs w:val="16"/>
    </w:rPr>
  </w:style>
  <w:style w:type="character" w:customStyle="1" w:styleId="a4">
    <w:name w:val="Текст выноски Знак"/>
    <w:basedOn w:val="a0"/>
    <w:link w:val="a3"/>
    <w:uiPriority w:val="99"/>
    <w:semiHidden/>
    <w:rsid w:val="003506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CE8"/>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6D2"/>
    <w:rPr>
      <w:rFonts w:ascii="Tahoma" w:hAnsi="Tahoma" w:cs="Tahoma"/>
      <w:sz w:val="16"/>
      <w:szCs w:val="16"/>
    </w:rPr>
  </w:style>
  <w:style w:type="character" w:customStyle="1" w:styleId="a4">
    <w:name w:val="Текст выноски Знак"/>
    <w:basedOn w:val="a0"/>
    <w:link w:val="a3"/>
    <w:uiPriority w:val="99"/>
    <w:semiHidden/>
    <w:rsid w:val="003506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4989</Words>
  <Characters>28439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Stimulsoft</Company>
  <LinksUpToDate>false</LinksUpToDate>
  <CharactersWithSpaces>33362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Stimulsoft Reports 2012.3.1500 from 3 December 2012</dc:creator>
  <cp:lastModifiedBy>Андрей Шигабетдинов</cp:lastModifiedBy>
  <cp:revision>2</cp:revision>
  <dcterms:created xsi:type="dcterms:W3CDTF">2017-09-05T19:53:00Z</dcterms:created>
  <dcterms:modified xsi:type="dcterms:W3CDTF">2017-09-05T19:53:00Z</dcterms:modified>
</cp:coreProperties>
</file>